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5913" w14:textId="77777777" w:rsidR="00C86936" w:rsidRPr="00F23A87" w:rsidRDefault="00C86936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43F4F30" w14:textId="4856EC66" w:rsidR="00C86936" w:rsidRDefault="00C86936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9B7D275" w14:textId="2CB216EB" w:rsidR="00647DA7" w:rsidRDefault="00647DA7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725F164" w14:textId="77777777" w:rsidR="00647DA7" w:rsidRPr="00F23A87" w:rsidRDefault="00647DA7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50C0A734" w14:textId="77777777" w:rsidR="002B4BB6" w:rsidRPr="00BC321E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val="en-US" w:bidi="en-US"/>
        </w:rPr>
      </w:pPr>
      <w:r w:rsidRPr="00BC321E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val="en-US" w:bidi="en-US"/>
        </w:rPr>
        <w:t xml:space="preserve">KRITÉRIÁ PRE VÝBER </w:t>
      </w:r>
      <w:r w:rsidRPr="00BC321E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  <w:t>PROJEKTOV</w:t>
      </w:r>
      <w:r w:rsidRPr="00BC321E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val="en-US" w:bidi="en-US"/>
        </w:rPr>
        <w:t xml:space="preserve"> - HODNOTIACE KRITÉRIÁ</w:t>
      </w:r>
    </w:p>
    <w:p w14:paraId="212545E8" w14:textId="77777777" w:rsidR="007C54B0" w:rsidRPr="00BC321E" w:rsidRDefault="002B4BB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pre hodnotenie žiadostí o NFP v</w:t>
      </w:r>
      <w:r w:rsidR="002C6CF7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 </w:t>
      </w:r>
      <w:r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rámci</w:t>
      </w:r>
      <w:r w:rsidR="002C6CF7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</w:t>
      </w:r>
      <w:r w:rsidR="00275344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Programu Slovensko</w:t>
      </w:r>
      <w:r w:rsidR="00841262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2021 </w:t>
      </w:r>
      <w:r w:rsidR="007C54B0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–</w:t>
      </w:r>
      <w:r w:rsidR="00841262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2027</w:t>
      </w:r>
      <w:r w:rsidR="007C54B0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, </w:t>
      </w:r>
    </w:p>
    <w:p w14:paraId="09DB52A8" w14:textId="10B484CA" w:rsidR="002B4BB6" w:rsidRPr="00BC321E" w:rsidRDefault="007C54B0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cieľa politiky súdržnosti 1 Konkurencieschopnejšia a inteligentnejšia Európa</w:t>
      </w:r>
    </w:p>
    <w:p w14:paraId="69A7A3D0" w14:textId="77777777" w:rsidR="007A0486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</w:p>
    <w:p w14:paraId="080819C8" w14:textId="713F65E3" w:rsidR="00D936B5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0A1944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POSKYTOVATE</w:t>
      </w:r>
      <w:r w:rsidR="00D936B5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Ľ</w:t>
      </w:r>
      <w:r w:rsidRPr="000A1944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:</w:t>
      </w:r>
      <w:r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</w:t>
      </w:r>
    </w:p>
    <w:p w14:paraId="3DFEA590" w14:textId="2834AAE1" w:rsidR="002C6CF7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Ministerstvo investícií, regionálneho rozvoja a informatizácie Slovenskej republiky </w:t>
      </w:r>
    </w:p>
    <w:p w14:paraId="35B65C1C" w14:textId="77777777" w:rsidR="007A0486" w:rsidRPr="00BC321E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</w:p>
    <w:p w14:paraId="0D1CED97" w14:textId="77777777" w:rsidR="00841262" w:rsidRPr="00BC321E" w:rsidRDefault="00EA6727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ŠPECIFICKÝ CIEĽ</w:t>
      </w:r>
      <w:r w:rsidR="00841262"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:</w:t>
      </w:r>
    </w:p>
    <w:p w14:paraId="6D22576E" w14:textId="475149B6" w:rsidR="00347061" w:rsidRPr="00BC321E" w:rsidRDefault="00EA6727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RSO</w:t>
      </w:r>
      <w:r w:rsidR="00841262"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1</w:t>
      </w: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 xml:space="preserve">.2 </w:t>
      </w:r>
      <w:r w:rsidR="00841262"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>Využívanie prínosov digitalizácie pre občanov, podniky, výskumné organizácie a orgány verejnej správy</w:t>
      </w:r>
      <w:r w:rsidR="00C868F0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(EFRR) </w:t>
      </w:r>
      <w:r w:rsidR="00F50271"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>(ďalej ako „ŠC RSO1.2“)</w:t>
      </w:r>
      <w:r w:rsidR="00841262"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>,</w:t>
      </w:r>
    </w:p>
    <w:p w14:paraId="50E3B990" w14:textId="1485A628" w:rsidR="00841262" w:rsidRPr="00BC321E" w:rsidRDefault="00841262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RSO1.4</w:t>
      </w:r>
      <w:r w:rsidRPr="00BC321E">
        <w:rPr>
          <w:rFonts w:ascii="Arial Narrow" w:eastAsia="Times New Roman" w:hAnsi="Arial Narrow" w:cs="Times New Roman"/>
          <w:sz w:val="28"/>
          <w:szCs w:val="28"/>
          <w:lang w:bidi="en-US"/>
        </w:rPr>
        <w:t xml:space="preserve"> </w:t>
      </w:r>
      <w:r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Rozvoj </w:t>
      </w:r>
      <w:r w:rsidR="00C868F0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zručností </w:t>
      </w:r>
      <w:r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>pre inteligentnú špecializáciu, priemyselnú transformáciu a podnikanie (EFRR)</w:t>
      </w:r>
      <w:r w:rsidR="00F50271"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(ďalej ako „ŠC RSO1.4“)</w:t>
      </w:r>
    </w:p>
    <w:p w14:paraId="691FCD22" w14:textId="77777777" w:rsidR="00F50271" w:rsidRPr="00BC321E" w:rsidRDefault="00F50271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</w:rPr>
      </w:pPr>
    </w:p>
    <w:p w14:paraId="5A81300B" w14:textId="2746FB34" w:rsidR="00740CA8" w:rsidRPr="00BC321E" w:rsidRDefault="00841262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</w:pPr>
      <w:r w:rsidRPr="00BC321E"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  <w:t xml:space="preserve">Národné </w:t>
      </w:r>
      <w:r w:rsidR="00740CA8" w:rsidRPr="00BC321E"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  <w:t>projekty</w:t>
      </w:r>
    </w:p>
    <w:p w14:paraId="6BF86353" w14:textId="77777777" w:rsidR="00F50271" w:rsidRPr="00F23A87" w:rsidRDefault="00F50271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19"/>
          <w:szCs w:val="19"/>
        </w:rPr>
      </w:pPr>
    </w:p>
    <w:p w14:paraId="05BAD55C" w14:textId="7CD99A6D" w:rsidR="00CB4106" w:rsidRPr="00CB4106" w:rsidRDefault="00CB4106" w:rsidP="00D72856">
      <w:pPr>
        <w:pStyle w:val="L1"/>
        <w:numPr>
          <w:ilvl w:val="0"/>
          <w:numId w:val="46"/>
        </w:numPr>
        <w:spacing w:after="240"/>
        <w:rPr>
          <w:sz w:val="22"/>
          <w:szCs w:val="22"/>
        </w:rPr>
      </w:pPr>
      <w:r w:rsidRPr="00CB4106">
        <w:rPr>
          <w:sz w:val="22"/>
          <w:szCs w:val="22"/>
        </w:rPr>
        <w:lastRenderedPageBreak/>
        <w:t>Úvod</w:t>
      </w:r>
    </w:p>
    <w:p w14:paraId="73861F63" w14:textId="7FBF18C7" w:rsidR="00AA2F7D" w:rsidRPr="00AA2F7D" w:rsidRDefault="00AA2F7D" w:rsidP="00AA2F7D">
      <w:pPr>
        <w:keepNext/>
        <w:spacing w:after="120"/>
        <w:jc w:val="both"/>
        <w:rPr>
          <w:rFonts w:ascii="Arial Narrow" w:hAnsi="Arial Narrow"/>
        </w:rPr>
      </w:pPr>
      <w:r w:rsidRPr="00AA2F7D">
        <w:rPr>
          <w:rFonts w:ascii="Arial Narrow" w:hAnsi="Arial Narrow"/>
        </w:rPr>
        <w:t xml:space="preserve">Výber </w:t>
      </w:r>
      <w:r w:rsidR="00E61D7C">
        <w:rPr>
          <w:rFonts w:ascii="Arial Narrow" w:hAnsi="Arial Narrow"/>
        </w:rPr>
        <w:t xml:space="preserve">národných </w:t>
      </w:r>
      <w:r w:rsidRPr="00AA2F7D">
        <w:rPr>
          <w:rFonts w:ascii="Arial Narrow" w:hAnsi="Arial Narrow"/>
        </w:rPr>
        <w:t>projektov na implementáciu</w:t>
      </w:r>
      <w:r w:rsidR="00E61D7C">
        <w:rPr>
          <w:rFonts w:ascii="Arial Narrow" w:hAnsi="Arial Narrow"/>
        </w:rPr>
        <w:t xml:space="preserve"> v rámci </w:t>
      </w:r>
      <w:r w:rsidR="007C54B0" w:rsidRPr="007C54B0">
        <w:rPr>
          <w:rFonts w:ascii="Arial Narrow" w:hAnsi="Arial Narrow"/>
          <w:b/>
        </w:rPr>
        <w:t>Cieľa</w:t>
      </w:r>
      <w:r w:rsidR="007C54B0">
        <w:rPr>
          <w:rFonts w:ascii="Arial Narrow" w:hAnsi="Arial Narrow"/>
          <w:b/>
        </w:rPr>
        <w:t xml:space="preserve"> politiky súdržnosti</w:t>
      </w:r>
      <w:r w:rsidR="007C54B0" w:rsidRPr="007C54B0">
        <w:rPr>
          <w:rFonts w:ascii="Arial Narrow" w:hAnsi="Arial Narrow"/>
          <w:b/>
        </w:rPr>
        <w:t xml:space="preserve"> 1</w:t>
      </w:r>
      <w:r w:rsidR="007C54B0">
        <w:rPr>
          <w:rFonts w:ascii="Arial Narrow" w:hAnsi="Arial Narrow"/>
        </w:rPr>
        <w:t xml:space="preserve"> K</w:t>
      </w:r>
      <w:r w:rsidR="007C54B0" w:rsidRPr="007C54B0">
        <w:rPr>
          <w:rFonts w:ascii="Arial Narrow" w:hAnsi="Arial Narrow"/>
          <w:b/>
          <w:bCs/>
        </w:rPr>
        <w:t>onkurencieschopnejšia a inteligentnejšia Európa</w:t>
      </w:r>
      <w:r w:rsidR="007C54B0">
        <w:rPr>
          <w:rFonts w:ascii="Arial Narrow" w:hAnsi="Arial Narrow"/>
          <w:b/>
          <w:bCs/>
        </w:rPr>
        <w:t xml:space="preserve">, </w:t>
      </w:r>
      <w:r w:rsidR="00E61D7C" w:rsidRPr="007C54B0">
        <w:rPr>
          <w:rFonts w:ascii="Arial Narrow" w:eastAsia="Times New Roman" w:hAnsi="Arial Narrow" w:cs="Arial"/>
          <w:b/>
          <w:color w:val="000000" w:themeColor="text1"/>
        </w:rPr>
        <w:t>ŠC RSO1.2</w:t>
      </w:r>
      <w:r w:rsidR="000A1944">
        <w:rPr>
          <w:rFonts w:ascii="Arial Narrow" w:eastAsia="Times New Roman" w:hAnsi="Arial Narrow" w:cs="Arial"/>
          <w:b/>
          <w:color w:val="000000" w:themeColor="text1"/>
        </w:rPr>
        <w:t xml:space="preserve"> a</w:t>
      </w:r>
      <w:r w:rsidR="00E61D7C" w:rsidRPr="007C54B0">
        <w:rPr>
          <w:rFonts w:ascii="Arial Narrow" w:eastAsia="Times New Roman" w:hAnsi="Arial Narrow" w:cs="Arial"/>
          <w:b/>
          <w:color w:val="000000" w:themeColor="text1"/>
        </w:rPr>
        <w:t xml:space="preserve"> RSO1.4</w:t>
      </w:r>
      <w:r w:rsidR="00E61D7C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AA2F7D">
        <w:rPr>
          <w:rFonts w:ascii="Arial Narrow" w:hAnsi="Arial Narrow"/>
        </w:rPr>
        <w:t>bude rešpektovať výstupy dokumentov spracovaných pre potreby programového obdobia 2021 – 2027</w:t>
      </w:r>
      <w:r w:rsidR="00F50388">
        <w:rPr>
          <w:rStyle w:val="Odkaznapoznmkupodiarou"/>
          <w:rFonts w:ascii="Arial Narrow" w:hAnsi="Arial Narrow"/>
        </w:rPr>
        <w:footnoteReference w:id="1"/>
      </w:r>
      <w:r w:rsidRPr="00AA2F7D">
        <w:rPr>
          <w:rFonts w:ascii="Arial Narrow" w:hAnsi="Arial Narrow"/>
        </w:rPr>
        <w:t xml:space="preserve">, </w:t>
      </w:r>
      <w:r w:rsidR="00E61D7C">
        <w:rPr>
          <w:rFonts w:ascii="Arial Narrow" w:hAnsi="Arial Narrow"/>
        </w:rPr>
        <w:t xml:space="preserve">ako aj príslušnú </w:t>
      </w:r>
      <w:r w:rsidRPr="00AA2F7D">
        <w:rPr>
          <w:rFonts w:ascii="Arial Narrow" w:hAnsi="Arial Narrow"/>
        </w:rPr>
        <w:t>legislatívu</w:t>
      </w:r>
      <w:r w:rsidR="00E61D7C" w:rsidRPr="00AA2F7D">
        <w:rPr>
          <w:rFonts w:ascii="Arial Narrow" w:hAnsi="Arial Narrow"/>
        </w:rPr>
        <w:t xml:space="preserve"> </w:t>
      </w:r>
      <w:r w:rsidRPr="00AA2F7D">
        <w:rPr>
          <w:rFonts w:ascii="Arial Narrow" w:hAnsi="Arial Narrow"/>
        </w:rPr>
        <w:t xml:space="preserve">pre oblasť </w:t>
      </w:r>
      <w:r w:rsidR="00E61D7C">
        <w:rPr>
          <w:rFonts w:ascii="Arial Narrow" w:hAnsi="Arial Narrow"/>
        </w:rPr>
        <w:t>rozvoja informačnej spoločnosti</w:t>
      </w:r>
      <w:r w:rsidRPr="00AA2F7D">
        <w:rPr>
          <w:rFonts w:ascii="Arial Narrow" w:hAnsi="Arial Narrow"/>
        </w:rPr>
        <w:t>.</w:t>
      </w:r>
    </w:p>
    <w:p w14:paraId="02E532D2" w14:textId="66441A9B" w:rsidR="00BC321E" w:rsidRDefault="00AA2F7D" w:rsidP="00AA2F7D">
      <w:pPr>
        <w:keepNext/>
        <w:spacing w:after="120"/>
        <w:jc w:val="both"/>
        <w:rPr>
          <w:rFonts w:ascii="Arial Narrow" w:hAnsi="Arial Narrow"/>
        </w:rPr>
      </w:pPr>
      <w:r w:rsidRPr="00AA2F7D">
        <w:rPr>
          <w:rFonts w:ascii="Arial Narrow" w:hAnsi="Arial Narrow"/>
          <w:b/>
        </w:rPr>
        <w:t>Kritéria pre výber projektov – hodnotiace kritéria</w:t>
      </w:r>
      <w:r>
        <w:rPr>
          <w:rFonts w:ascii="Arial Narrow" w:hAnsi="Arial Narrow"/>
          <w:b/>
        </w:rPr>
        <w:t xml:space="preserve"> – národné projekty</w:t>
      </w:r>
      <w:r w:rsidR="00437B87">
        <w:rPr>
          <w:rFonts w:ascii="Arial Narrow" w:hAnsi="Arial Narrow"/>
          <w:b/>
        </w:rPr>
        <w:t xml:space="preserve"> (ďalej ako „hodnotiace kritéria“) </w:t>
      </w:r>
      <w:r w:rsidR="00C349E7" w:rsidRPr="00437B87">
        <w:rPr>
          <w:rFonts w:ascii="Arial Narrow" w:hAnsi="Arial Narrow"/>
          <w:b/>
        </w:rPr>
        <w:t>predstavujú</w:t>
      </w:r>
      <w:r w:rsidR="00C349E7">
        <w:rPr>
          <w:rFonts w:ascii="Arial Narrow" w:hAnsi="Arial Narrow"/>
          <w:b/>
        </w:rPr>
        <w:t xml:space="preserve"> tzv. vecné kritéria</w:t>
      </w:r>
      <w:r w:rsidR="00437B87" w:rsidRPr="00437B87">
        <w:rPr>
          <w:rFonts w:ascii="Arial" w:hAnsi="Arial" w:cs="Arial"/>
          <w:sz w:val="18"/>
          <w:szCs w:val="18"/>
        </w:rPr>
        <w:t xml:space="preserve"> </w:t>
      </w:r>
      <w:r w:rsidR="00437B87" w:rsidRPr="00437B87">
        <w:rPr>
          <w:rFonts w:ascii="Arial Narrow" w:hAnsi="Arial Narrow"/>
        </w:rPr>
        <w:t>pre výber národných projektov</w:t>
      </w:r>
      <w:r w:rsidR="00BC321E">
        <w:rPr>
          <w:rStyle w:val="Odkaznapoznmkupodiarou"/>
          <w:rFonts w:ascii="Arial Narrow" w:hAnsi="Arial Narrow"/>
        </w:rPr>
        <w:footnoteReference w:id="2"/>
      </w:r>
      <w:r w:rsidR="00437B87" w:rsidRPr="00437B87">
        <w:rPr>
          <w:rFonts w:ascii="Arial Narrow" w:hAnsi="Arial Narrow"/>
        </w:rPr>
        <w:t xml:space="preserve"> </w:t>
      </w:r>
      <w:r w:rsidR="00437B87">
        <w:rPr>
          <w:rFonts w:ascii="Arial Narrow" w:hAnsi="Arial Narrow"/>
        </w:rPr>
        <w:t xml:space="preserve">nad rámec minimálnych požiadaviek na výber projektov podľa článku 73 </w:t>
      </w:r>
      <w:r w:rsidR="00437B87" w:rsidRPr="00AA2F7D">
        <w:rPr>
          <w:rFonts w:ascii="Arial Narrow" w:hAnsi="Arial Narrow"/>
          <w:b/>
        </w:rPr>
        <w:t>Nariadenia Európskeho parlamentu a Rady (EÚ) 2021/1060 z 24. júna 2021</w:t>
      </w:r>
      <w:r w:rsidR="00437B87" w:rsidRPr="00AA2F7D">
        <w:rPr>
          <w:rFonts w:ascii="Arial Narrow" w:hAnsi="Arial Narrow"/>
        </w:rPr>
        <w:t xml:space="preserve">, ktorým sa stanovujú spoločné ustanovenia o  Európskom fonde regionálneho rozvoja, Európskom sociálnom fonde plus, Kohéznom fonde, Fonde na spravodlivú transformáciu a Európskom námornom, rybolovnom a  </w:t>
      </w:r>
      <w:proofErr w:type="spellStart"/>
      <w:r w:rsidR="00437B87" w:rsidRPr="00AA2F7D">
        <w:rPr>
          <w:rFonts w:ascii="Arial Narrow" w:hAnsi="Arial Narrow"/>
        </w:rPr>
        <w:t>akvakultúrnom</w:t>
      </w:r>
      <w:proofErr w:type="spellEnd"/>
      <w:r w:rsidR="00437B87" w:rsidRPr="00AA2F7D">
        <w:rPr>
          <w:rFonts w:ascii="Arial Narrow" w:hAnsi="Arial Narrow"/>
        </w:rPr>
        <w:t xml:space="preserve"> fonde a  rozpočtové pravidlá pre uvedené fondy, ako aj pre Fond pre azyl, migráciu a integráciu, Fond pre vnútornú bezpečnosť a Nástroj finančnej podpory na riadenie hraníc a vízovú politiku</w:t>
      </w:r>
      <w:r w:rsidR="00BC321E">
        <w:rPr>
          <w:rFonts w:ascii="Arial Narrow" w:hAnsi="Arial Narrow"/>
        </w:rPr>
        <w:t xml:space="preserve"> (ďalej ako „nariadenie</w:t>
      </w:r>
      <w:r w:rsidR="00FE785B">
        <w:rPr>
          <w:rFonts w:ascii="Arial Narrow" w:hAnsi="Arial Narrow"/>
        </w:rPr>
        <w:t xml:space="preserve"> o spoločných ustanoveniach</w:t>
      </w:r>
      <w:r w:rsidR="00BC321E">
        <w:rPr>
          <w:rFonts w:ascii="Arial Narrow" w:hAnsi="Arial Narrow"/>
        </w:rPr>
        <w:t>“).</w:t>
      </w:r>
    </w:p>
    <w:p w14:paraId="6E7F2403" w14:textId="4AFFF5B1" w:rsidR="00AA2F7D" w:rsidRPr="00AA2F7D" w:rsidRDefault="00437B87" w:rsidP="00AA2F7D">
      <w:pPr>
        <w:keepNext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Tieto vecné hodnotiace kritéria </w:t>
      </w:r>
      <w:r w:rsidR="00AA2F7D" w:rsidRPr="00AA2F7D">
        <w:rPr>
          <w:rFonts w:ascii="Arial Narrow" w:hAnsi="Arial Narrow"/>
        </w:rPr>
        <w:t xml:space="preserve">ako aj každá ich zmena, </w:t>
      </w:r>
      <w:r w:rsidR="00AA2F7D" w:rsidRPr="00AA2F7D">
        <w:rPr>
          <w:rFonts w:ascii="Arial Narrow" w:hAnsi="Arial Narrow"/>
          <w:b/>
        </w:rPr>
        <w:t>podlieha</w:t>
      </w:r>
      <w:r w:rsidR="00AA2F7D">
        <w:rPr>
          <w:rFonts w:ascii="Arial Narrow" w:hAnsi="Arial Narrow"/>
          <w:b/>
        </w:rPr>
        <w:t>jú</w:t>
      </w:r>
      <w:r w:rsidR="00AA2F7D" w:rsidRPr="00AA2F7D">
        <w:rPr>
          <w:rFonts w:ascii="Arial Narrow" w:hAnsi="Arial Narrow"/>
        </w:rPr>
        <w:t xml:space="preserve"> podľa </w:t>
      </w:r>
      <w:r w:rsidR="00AA2F7D" w:rsidRPr="00AA2F7D">
        <w:rPr>
          <w:rFonts w:ascii="Arial Narrow" w:hAnsi="Arial Narrow"/>
          <w:b/>
        </w:rPr>
        <w:t>čl. 40, ods. 2</w:t>
      </w:r>
      <w:r w:rsidR="00BC321E">
        <w:rPr>
          <w:rFonts w:ascii="Arial Narrow" w:hAnsi="Arial Narrow"/>
          <w:b/>
        </w:rPr>
        <w:t xml:space="preserve"> všeobecného nariadenia</w:t>
      </w:r>
      <w:r w:rsidR="00AA2F7D" w:rsidRPr="00AA2F7D">
        <w:rPr>
          <w:rFonts w:ascii="Arial Narrow" w:hAnsi="Arial Narrow"/>
          <w:b/>
        </w:rPr>
        <w:t xml:space="preserve"> schváleniu Monitorovacím výborom pre Program Slovensko 2021 – 2027</w:t>
      </w:r>
      <w:r w:rsidR="00AA2F7D" w:rsidRPr="00AA2F7D">
        <w:rPr>
          <w:rFonts w:ascii="Arial Narrow" w:hAnsi="Arial Narrow"/>
        </w:rPr>
        <w:t xml:space="preserve"> </w:t>
      </w:r>
      <w:r w:rsidR="00AA2F7D" w:rsidRPr="000A1944">
        <w:rPr>
          <w:rFonts w:ascii="Arial Narrow" w:hAnsi="Arial Narrow"/>
          <w:b/>
        </w:rPr>
        <w:t>po ich prerokovaní v Komisii pri Monitorovacom výbore pre Program Slovensko 2021 – 2027 pre cieľ 1 (Konkurencieschopnejšia a inteligentnejšia Európa)</w:t>
      </w:r>
      <w:r w:rsidR="00AA2F7D" w:rsidRPr="00AA2F7D">
        <w:rPr>
          <w:rFonts w:ascii="Arial Narrow" w:hAnsi="Arial Narrow"/>
        </w:rPr>
        <w:t xml:space="preserve"> politiky súdržnosti EÚ.</w:t>
      </w:r>
    </w:p>
    <w:p w14:paraId="6CD928EC" w14:textId="5DBD907C" w:rsidR="00CB4106" w:rsidRPr="002A4A08" w:rsidRDefault="00437B87" w:rsidP="00CB4106">
      <w:pPr>
        <w:keepNext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</w:t>
      </w:r>
      <w:r w:rsidR="00900A28" w:rsidRPr="002A4A08">
        <w:rPr>
          <w:rFonts w:ascii="Arial Narrow" w:hAnsi="Arial Narrow"/>
          <w:b/>
        </w:rPr>
        <w:t>odnotiace kritéria</w:t>
      </w:r>
      <w:r w:rsidR="00AA2F7D">
        <w:rPr>
          <w:rFonts w:ascii="Arial Narrow" w:hAnsi="Arial Narrow"/>
          <w:b/>
        </w:rPr>
        <w:t xml:space="preserve"> </w:t>
      </w:r>
      <w:r w:rsidR="00CB4106" w:rsidRPr="002A4A08">
        <w:rPr>
          <w:rFonts w:ascii="Arial Narrow" w:hAnsi="Arial Narrow"/>
        </w:rPr>
        <w:t>vypracoval Riadiaci orgán pre Program Slovensko 202</w:t>
      </w:r>
      <w:r w:rsidR="00480032">
        <w:rPr>
          <w:rFonts w:ascii="Arial Narrow" w:hAnsi="Arial Narrow"/>
        </w:rPr>
        <w:t>1</w:t>
      </w:r>
      <w:r w:rsidR="00CB4106" w:rsidRPr="002A4A08">
        <w:rPr>
          <w:rFonts w:ascii="Arial Narrow" w:hAnsi="Arial Narrow"/>
        </w:rPr>
        <w:t xml:space="preserve"> – 2027</w:t>
      </w:r>
      <w:r w:rsidR="00CB4106" w:rsidRPr="002A4A08">
        <w:rPr>
          <w:rFonts w:ascii="Arial Narrow" w:hAnsi="Arial Narrow"/>
          <w:vertAlign w:val="superscript"/>
        </w:rPr>
        <w:footnoteReference w:id="3"/>
      </w:r>
      <w:r w:rsidR="00CB4106" w:rsidRPr="002A4A08">
        <w:rPr>
          <w:rFonts w:ascii="Arial Narrow" w:hAnsi="Arial Narrow"/>
        </w:rPr>
        <w:t xml:space="preserve"> </w:t>
      </w:r>
      <w:r w:rsidR="00CB4106" w:rsidRPr="002A4A08">
        <w:rPr>
          <w:rFonts w:ascii="Arial Narrow" w:hAnsi="Arial Narrow"/>
          <w:b/>
        </w:rPr>
        <w:t>pre oblasti podpory</w:t>
      </w:r>
      <w:r w:rsidR="00CB4106" w:rsidRPr="002A4A08">
        <w:rPr>
          <w:rFonts w:ascii="Arial Narrow" w:hAnsi="Arial Narrow"/>
        </w:rPr>
        <w:t xml:space="preserve"> Programu Slovensko 2021 – 2027, v rámci:</w:t>
      </w: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1696"/>
        <w:gridCol w:w="2549"/>
        <w:gridCol w:w="11201"/>
      </w:tblGrid>
      <w:tr w:rsidR="00CB4106" w:rsidRPr="00723C2E" w14:paraId="47B37132" w14:textId="77777777" w:rsidTr="00A17B4E">
        <w:trPr>
          <w:trHeight w:val="300"/>
        </w:trPr>
        <w:tc>
          <w:tcPr>
            <w:tcW w:w="1696" w:type="dxa"/>
            <w:shd w:val="clear" w:color="auto" w:fill="5B9BD5" w:themeFill="accent1"/>
            <w:noWrap/>
            <w:hideMark/>
          </w:tcPr>
          <w:p w14:paraId="6DA50E1A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723C2E">
              <w:rPr>
                <w:rFonts w:ascii="Arial Narrow" w:hAnsi="Arial Narrow"/>
                <w:b/>
                <w:bCs/>
              </w:rPr>
              <w:t>Špecifický cieľ</w:t>
            </w:r>
          </w:p>
        </w:tc>
        <w:tc>
          <w:tcPr>
            <w:tcW w:w="2549" w:type="dxa"/>
            <w:shd w:val="clear" w:color="auto" w:fill="5B9BD5" w:themeFill="accent1"/>
            <w:noWrap/>
            <w:hideMark/>
          </w:tcPr>
          <w:p w14:paraId="701AF979" w14:textId="57887D3F" w:rsidR="00CB4106" w:rsidRPr="00723C2E" w:rsidRDefault="00043650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Opatrenie</w:t>
            </w:r>
          </w:p>
        </w:tc>
        <w:tc>
          <w:tcPr>
            <w:tcW w:w="11201" w:type="dxa"/>
            <w:shd w:val="clear" w:color="auto" w:fill="5B9BD5" w:themeFill="accent1"/>
            <w:noWrap/>
            <w:hideMark/>
          </w:tcPr>
          <w:p w14:paraId="55E184E0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723C2E">
              <w:rPr>
                <w:rFonts w:ascii="Arial Narrow" w:hAnsi="Arial Narrow"/>
                <w:b/>
                <w:bCs/>
              </w:rPr>
              <w:t>Aktivity</w:t>
            </w:r>
          </w:p>
        </w:tc>
      </w:tr>
      <w:tr w:rsidR="00CB4106" w:rsidRPr="00723C2E" w14:paraId="18BB29B0" w14:textId="77777777" w:rsidTr="002A4A08">
        <w:trPr>
          <w:trHeight w:val="3011"/>
        </w:trPr>
        <w:tc>
          <w:tcPr>
            <w:tcW w:w="1696" w:type="dxa"/>
            <w:vMerge w:val="restart"/>
            <w:shd w:val="clear" w:color="auto" w:fill="FFF2CC" w:themeFill="accent4" w:themeFillTint="33"/>
            <w:hideMark/>
          </w:tcPr>
          <w:p w14:paraId="4A0A739D" w14:textId="18E47A55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  <w:b/>
              </w:rPr>
              <w:t>RSO1.2</w:t>
            </w:r>
            <w:r w:rsidRPr="00723C2E">
              <w:rPr>
                <w:rFonts w:ascii="Arial Narrow" w:hAnsi="Arial Narrow"/>
              </w:rPr>
              <w:t xml:space="preserve"> Využívanie prínosov digitalizácie pre občanov, podniky, výskumné organizácie a orgány verejnej správy</w:t>
            </w:r>
            <w:r w:rsidR="00C868F0">
              <w:rPr>
                <w:rFonts w:ascii="Arial Narrow" w:hAnsi="Arial Narrow"/>
              </w:rPr>
              <w:t xml:space="preserve"> (EFRR)</w:t>
            </w:r>
          </w:p>
        </w:tc>
        <w:tc>
          <w:tcPr>
            <w:tcW w:w="2549" w:type="dxa"/>
            <w:hideMark/>
          </w:tcPr>
          <w:p w14:paraId="0E022FD2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  <w:b/>
              </w:rPr>
              <w:t>1.2.1 Podpora v oblasti informatizácie a digitálnej transformácie</w:t>
            </w:r>
            <w:r w:rsidRPr="00723C2E">
              <w:rPr>
                <w:rFonts w:ascii="Arial Narrow" w:hAnsi="Arial Narrow"/>
              </w:rPr>
              <w:br/>
              <w:t>(</w:t>
            </w:r>
            <w:r w:rsidRPr="00723C2E">
              <w:rPr>
                <w:rFonts w:ascii="Arial Narrow" w:hAnsi="Arial Narrow"/>
                <w:b/>
              </w:rPr>
              <w:t>A</w:t>
            </w:r>
            <w:r w:rsidRPr="00723C2E">
              <w:rPr>
                <w:rFonts w:ascii="Arial Narrow" w:hAnsi="Arial Narrow"/>
              </w:rPr>
              <w:t>. Podpora v oblasti zvýšenia inovačnej schopnosti ekonomiky prostredníctvom zavádzania top digitálnych technológií)</w:t>
            </w:r>
          </w:p>
        </w:tc>
        <w:tc>
          <w:tcPr>
            <w:tcW w:w="11201" w:type="dxa"/>
            <w:hideMark/>
          </w:tcPr>
          <w:p w14:paraId="06983879" w14:textId="71FA1B24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 xml:space="preserve">- podpora projektov na základe prioritných oblastí najmä v doméne Digitálna transformácia Slovenska podľa Stratégie </w:t>
            </w:r>
            <w:r w:rsidR="00E5615E">
              <w:rPr>
                <w:rFonts w:ascii="Arial Narrow" w:hAnsi="Arial Narrow"/>
              </w:rPr>
              <w:t xml:space="preserve">výskumu a inovácií pre </w:t>
            </w:r>
            <w:r w:rsidRPr="00723C2E">
              <w:rPr>
                <w:rFonts w:ascii="Arial Narrow" w:hAnsi="Arial Narrow"/>
              </w:rPr>
              <w:t>inteligentn</w:t>
            </w:r>
            <w:r w:rsidR="00E5615E">
              <w:rPr>
                <w:rFonts w:ascii="Arial Narrow" w:hAnsi="Arial Narrow"/>
              </w:rPr>
              <w:t>ú</w:t>
            </w:r>
            <w:r w:rsidRPr="00723C2E">
              <w:rPr>
                <w:rFonts w:ascii="Arial Narrow" w:hAnsi="Arial Narrow"/>
              </w:rPr>
              <w:t xml:space="preserve"> špecializáci</w:t>
            </w:r>
            <w:r w:rsidR="00E5615E">
              <w:rPr>
                <w:rFonts w:ascii="Arial Narrow" w:hAnsi="Arial Narrow"/>
              </w:rPr>
              <w:t>u Slovenskej republiky (ďalej len „SK RIS3 2021+“)</w:t>
            </w:r>
            <w:r w:rsidR="00E5615E">
              <w:rPr>
                <w:rStyle w:val="Odkaznapoznmkupodiarou"/>
                <w:rFonts w:ascii="Arial Narrow" w:hAnsi="Arial Narrow"/>
              </w:rPr>
              <w:footnoteReference w:id="4"/>
            </w:r>
            <w:r w:rsidR="00F459F2">
              <w:rPr>
                <w:rFonts w:ascii="Arial Narrow" w:hAnsi="Arial Narrow"/>
              </w:rPr>
              <w:t>.</w:t>
            </w:r>
          </w:p>
        </w:tc>
      </w:tr>
      <w:tr w:rsidR="00CB4106" w:rsidRPr="00723C2E" w14:paraId="71CBCC14" w14:textId="77777777" w:rsidTr="00CB4106">
        <w:trPr>
          <w:trHeight w:val="555"/>
        </w:trPr>
        <w:tc>
          <w:tcPr>
            <w:tcW w:w="1696" w:type="dxa"/>
            <w:vMerge/>
            <w:shd w:val="clear" w:color="auto" w:fill="FFF2CC" w:themeFill="accent4" w:themeFillTint="33"/>
            <w:hideMark/>
          </w:tcPr>
          <w:p w14:paraId="5F3B1376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549" w:type="dxa"/>
            <w:hideMark/>
          </w:tcPr>
          <w:p w14:paraId="78667D7D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  <w:b/>
              </w:rPr>
              <w:t>1.2.1 Podpora v oblasti informatizácie a digitálnej transformácie</w:t>
            </w:r>
            <w:r w:rsidRPr="00723C2E">
              <w:rPr>
                <w:rFonts w:ascii="Arial Narrow" w:hAnsi="Arial Narrow"/>
              </w:rPr>
              <w:br/>
              <w:t>(</w:t>
            </w:r>
            <w:r w:rsidRPr="00723C2E">
              <w:rPr>
                <w:rFonts w:ascii="Arial Narrow" w:hAnsi="Arial Narrow"/>
                <w:b/>
              </w:rPr>
              <w:t>B.</w:t>
            </w:r>
            <w:r w:rsidRPr="00723C2E">
              <w:rPr>
                <w:rFonts w:ascii="Arial Narrow" w:hAnsi="Arial Narrow"/>
              </w:rPr>
              <w:t xml:space="preserve"> Podpora v oblasti zvýšenia kvality </w:t>
            </w:r>
            <w:r w:rsidRPr="00723C2E">
              <w:rPr>
                <w:rFonts w:ascii="Arial Narrow" w:hAnsi="Arial Narrow"/>
              </w:rPr>
              <w:lastRenderedPageBreak/>
              <w:t>poskytovaných verejných služieb)</w:t>
            </w:r>
          </w:p>
        </w:tc>
        <w:tc>
          <w:tcPr>
            <w:tcW w:w="11201" w:type="dxa"/>
            <w:hideMark/>
          </w:tcPr>
          <w:p w14:paraId="0EE92CA2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lastRenderedPageBreak/>
              <w:t xml:space="preserve">- rozvoj dátovej </w:t>
            </w:r>
            <w:proofErr w:type="spellStart"/>
            <w:r w:rsidRPr="00723C2E">
              <w:rPr>
                <w:rFonts w:ascii="Arial Narrow" w:hAnsi="Arial Narrow"/>
              </w:rPr>
              <w:t>interoperability</w:t>
            </w:r>
            <w:proofErr w:type="spellEnd"/>
            <w:r w:rsidRPr="00723C2E">
              <w:rPr>
                <w:rFonts w:ascii="Arial Narrow" w:hAnsi="Arial Narrow"/>
              </w:rPr>
              <w:t xml:space="preserve"> informačných systémov vrátane plnenia Európskeho rámca pre </w:t>
            </w:r>
            <w:proofErr w:type="spellStart"/>
            <w:r w:rsidRPr="00723C2E">
              <w:rPr>
                <w:rFonts w:ascii="Arial Narrow" w:hAnsi="Arial Narrow"/>
              </w:rPr>
              <w:t>interoperabilitu</w:t>
            </w:r>
            <w:proofErr w:type="spellEnd"/>
            <w:r w:rsidRPr="00723C2E">
              <w:rPr>
                <w:rFonts w:ascii="Arial Narrow" w:hAnsi="Arial Narrow"/>
              </w:rPr>
              <w:t xml:space="preserve"> (EIF), EU </w:t>
            </w:r>
            <w:proofErr w:type="spellStart"/>
            <w:r w:rsidRPr="00723C2E">
              <w:rPr>
                <w:rFonts w:ascii="Arial Narrow" w:hAnsi="Arial Narrow"/>
              </w:rPr>
              <w:t>Data</w:t>
            </w:r>
            <w:proofErr w:type="spellEnd"/>
            <w:r w:rsidRPr="00723C2E">
              <w:rPr>
                <w:rFonts w:ascii="Arial Narrow" w:hAnsi="Arial Narrow"/>
              </w:rPr>
              <w:t xml:space="preserve"> </w:t>
            </w:r>
            <w:proofErr w:type="spellStart"/>
            <w:r w:rsidRPr="00723C2E">
              <w:rPr>
                <w:rFonts w:ascii="Arial Narrow" w:hAnsi="Arial Narrow"/>
              </w:rPr>
              <w:t>Strategy</w:t>
            </w:r>
            <w:proofErr w:type="spellEnd"/>
            <w:r w:rsidRPr="00723C2E">
              <w:rPr>
                <w:rFonts w:ascii="Arial Narrow" w:hAnsi="Arial Narrow"/>
              </w:rPr>
              <w:t xml:space="preserve"> a zavedenie pravidiel používania “mojich údajov”;</w:t>
            </w:r>
          </w:p>
          <w:p w14:paraId="2261FF05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 xml:space="preserve">- zavádzanie optimalizovaných a automatizovaných procesov vrátane využitia </w:t>
            </w:r>
            <w:proofErr w:type="spellStart"/>
            <w:r w:rsidRPr="00723C2E">
              <w:rPr>
                <w:rFonts w:ascii="Arial Narrow" w:hAnsi="Arial Narrow"/>
              </w:rPr>
              <w:t>low-code</w:t>
            </w:r>
            <w:proofErr w:type="spellEnd"/>
            <w:r w:rsidRPr="00723C2E">
              <w:rPr>
                <w:rFonts w:ascii="Arial Narrow" w:hAnsi="Arial Narrow"/>
              </w:rPr>
              <w:t xml:space="preserve"> platforiem pri zavádzaní európskej a národnej legislatívy;</w:t>
            </w:r>
          </w:p>
          <w:p w14:paraId="24813730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lastRenderedPageBreak/>
              <w:t xml:space="preserve">- budovanie nových a výrazne zmenených </w:t>
            </w:r>
            <w:proofErr w:type="spellStart"/>
            <w:r w:rsidRPr="00723C2E">
              <w:rPr>
                <w:rFonts w:ascii="Arial Narrow" w:hAnsi="Arial Narrow"/>
              </w:rPr>
              <w:t>personalizovaných</w:t>
            </w:r>
            <w:proofErr w:type="spellEnd"/>
            <w:r w:rsidRPr="00723C2E">
              <w:rPr>
                <w:rFonts w:ascii="Arial Narrow" w:hAnsi="Arial Narrow"/>
              </w:rPr>
              <w:t xml:space="preserve"> služieb a životných situácií a využitie </w:t>
            </w:r>
            <w:proofErr w:type="spellStart"/>
            <w:r w:rsidRPr="00723C2E">
              <w:rPr>
                <w:rFonts w:ascii="Arial Narrow" w:hAnsi="Arial Narrow"/>
              </w:rPr>
              <w:t>multikanálového</w:t>
            </w:r>
            <w:proofErr w:type="spellEnd"/>
            <w:r w:rsidRPr="00723C2E">
              <w:rPr>
                <w:rFonts w:ascii="Arial Narrow" w:hAnsi="Arial Narrow"/>
              </w:rPr>
              <w:t xml:space="preserve"> prístupu postaveného na API s dôrazom na mobilné služby a v súlade s WAD (EU) 2016/2102;</w:t>
            </w:r>
          </w:p>
          <w:p w14:paraId="0C2EF426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 xml:space="preserve">- budovanie aplikačnej a technologickej architektúry na princípoch cloud </w:t>
            </w:r>
            <w:proofErr w:type="spellStart"/>
            <w:r w:rsidRPr="00723C2E">
              <w:rPr>
                <w:rFonts w:ascii="Arial Narrow" w:hAnsi="Arial Narrow"/>
              </w:rPr>
              <w:t>native</w:t>
            </w:r>
            <w:proofErr w:type="spellEnd"/>
            <w:r w:rsidRPr="00723C2E">
              <w:rPr>
                <w:rFonts w:ascii="Arial Narrow" w:hAnsi="Arial Narrow"/>
              </w:rPr>
              <w:t xml:space="preserve"> a cloud </w:t>
            </w:r>
            <w:proofErr w:type="spellStart"/>
            <w:r w:rsidRPr="00723C2E">
              <w:rPr>
                <w:rFonts w:ascii="Arial Narrow" w:hAnsi="Arial Narrow"/>
              </w:rPr>
              <w:t>ready</w:t>
            </w:r>
            <w:proofErr w:type="spellEnd"/>
            <w:r w:rsidRPr="00723C2E">
              <w:rPr>
                <w:rFonts w:ascii="Arial Narrow" w:hAnsi="Arial Narrow"/>
              </w:rPr>
              <w:t xml:space="preserve"> postavenej na bezpečnej sieti </w:t>
            </w:r>
            <w:proofErr w:type="spellStart"/>
            <w:r w:rsidRPr="00723C2E">
              <w:rPr>
                <w:rFonts w:ascii="Arial Narrow" w:hAnsi="Arial Narrow"/>
              </w:rPr>
              <w:t>Govnet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 xml:space="preserve">podpora rozširovania služieb vládneho </w:t>
            </w:r>
            <w:proofErr w:type="spellStart"/>
            <w:r w:rsidRPr="00723C2E">
              <w:rPr>
                <w:rFonts w:ascii="Arial Narrow" w:hAnsi="Arial Narrow"/>
              </w:rPr>
              <w:t>cloudu</w:t>
            </w:r>
            <w:proofErr w:type="spellEnd"/>
            <w:r w:rsidRPr="00723C2E">
              <w:rPr>
                <w:rFonts w:ascii="Arial Narrow" w:hAnsi="Arial Narrow"/>
              </w:rPr>
              <w:t>, vrátane prevádzkových nákladov;</w:t>
            </w:r>
          </w:p>
          <w:p w14:paraId="005902C4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 xml:space="preserve">- lepšie riadenie a plánovanie zdrojov pomocou analytického spracovania údajov vo verejnej správe za účelom lepšieho poskytovania verejných služieb v prospech občana/podnikateľa na základoch </w:t>
            </w:r>
            <w:proofErr w:type="spellStart"/>
            <w:r w:rsidRPr="00723C2E">
              <w:rPr>
                <w:rFonts w:ascii="Arial Narrow" w:hAnsi="Arial Narrow"/>
              </w:rPr>
              <w:t>Open</w:t>
            </w:r>
            <w:proofErr w:type="spellEnd"/>
            <w:r w:rsidRPr="00723C2E">
              <w:rPr>
                <w:rFonts w:ascii="Arial Narrow" w:hAnsi="Arial Narrow"/>
              </w:rPr>
              <w:t xml:space="preserve"> </w:t>
            </w:r>
            <w:proofErr w:type="spellStart"/>
            <w:r w:rsidRPr="00723C2E">
              <w:rPr>
                <w:rFonts w:ascii="Arial Narrow" w:hAnsi="Arial Narrow"/>
              </w:rPr>
              <w:t>Data</w:t>
            </w:r>
            <w:proofErr w:type="spellEnd"/>
            <w:r w:rsidRPr="00723C2E">
              <w:rPr>
                <w:rFonts w:ascii="Arial Narrow" w:hAnsi="Arial Narrow"/>
              </w:rPr>
              <w:t xml:space="preserve"> </w:t>
            </w:r>
            <w:proofErr w:type="spellStart"/>
            <w:r w:rsidRPr="00723C2E">
              <w:rPr>
                <w:rFonts w:ascii="Arial Narrow" w:hAnsi="Arial Narrow"/>
              </w:rPr>
              <w:t>Directive</w:t>
            </w:r>
            <w:proofErr w:type="spellEnd"/>
            <w:r w:rsidRPr="00723C2E">
              <w:rPr>
                <w:rFonts w:ascii="Arial Narrow" w:hAnsi="Arial Narrow"/>
              </w:rPr>
              <w:t xml:space="preserve"> (</w:t>
            </w:r>
            <w:proofErr w:type="spellStart"/>
            <w:r w:rsidRPr="00723C2E">
              <w:rPr>
                <w:rFonts w:ascii="Arial Narrow" w:hAnsi="Arial Narrow"/>
              </w:rPr>
              <w:t>Directive</w:t>
            </w:r>
            <w:proofErr w:type="spellEnd"/>
            <w:r w:rsidRPr="00723C2E">
              <w:rPr>
                <w:rFonts w:ascii="Arial Narrow" w:hAnsi="Arial Narrow"/>
              </w:rPr>
              <w:t xml:space="preserve"> (EU) 2019/1024.</w:t>
            </w:r>
          </w:p>
        </w:tc>
      </w:tr>
      <w:tr w:rsidR="00CB4106" w:rsidRPr="00723C2E" w14:paraId="63A649C5" w14:textId="77777777" w:rsidTr="002A4A08">
        <w:trPr>
          <w:trHeight w:val="1968"/>
        </w:trPr>
        <w:tc>
          <w:tcPr>
            <w:tcW w:w="1696" w:type="dxa"/>
            <w:vMerge/>
            <w:shd w:val="clear" w:color="auto" w:fill="FFF2CC" w:themeFill="accent4" w:themeFillTint="33"/>
            <w:hideMark/>
          </w:tcPr>
          <w:p w14:paraId="326101EC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549" w:type="dxa"/>
            <w:hideMark/>
          </w:tcPr>
          <w:p w14:paraId="4E9376C0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  <w:b/>
              </w:rPr>
              <w:t>1.2.1 Podpora v oblasti informatizácie a digitálnej transformácie</w:t>
            </w:r>
            <w:r w:rsidRPr="00723C2E">
              <w:rPr>
                <w:rFonts w:ascii="Arial Narrow" w:hAnsi="Arial Narrow"/>
              </w:rPr>
              <w:br/>
              <w:t>(Kybernetická a informačná bezpečnosť)</w:t>
            </w:r>
          </w:p>
        </w:tc>
        <w:tc>
          <w:tcPr>
            <w:tcW w:w="11201" w:type="dxa"/>
            <w:hideMark/>
          </w:tcPr>
          <w:p w14:paraId="0A3F908D" w14:textId="77777777" w:rsidR="00CB4106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>- zlepšovanie procesného, infraštruktúrneho, vedomostného a organizačného zabezpečenia zručností a kapacít pre plnenie úloh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 </w:t>
            </w:r>
            <w:r w:rsidRPr="00723C2E">
              <w:rPr>
                <w:rFonts w:ascii="Arial Narrow" w:hAnsi="Arial Narrow"/>
              </w:rPr>
              <w:t>oblasti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KIB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 </w:t>
            </w:r>
            <w:r w:rsidRPr="00723C2E">
              <w:rPr>
                <w:rFonts w:ascii="Arial Narrow" w:hAnsi="Arial Narrow"/>
              </w:rPr>
              <w:t>prostredí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orgánov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štátnej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verejnej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správy;</w:t>
            </w:r>
          </w:p>
          <w:p w14:paraId="43991ACF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723C2E">
              <w:rPr>
                <w:rFonts w:ascii="Arial Narrow" w:hAnsi="Arial Narrow"/>
              </w:rPr>
              <w:t>budovanie špecializovaných inštitúcií KIB zameraných na dizajn a vývoj nových bezpečnostných riešení;</w:t>
            </w:r>
            <w:r w:rsidRPr="00723C2E">
              <w:rPr>
                <w:rFonts w:ascii="Arial Narrow" w:hAnsi="Arial Narrow"/>
              </w:rPr>
              <w:br/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723C2E">
              <w:rPr>
                <w:rFonts w:ascii="Arial Narrow" w:hAnsi="Arial Narrow"/>
              </w:rPr>
              <w:t>posilnenie prvkov kritickej infraštruktúry a budovanie nástroja pre manažment údajov;</w:t>
            </w:r>
            <w:r w:rsidRPr="00723C2E">
              <w:rPr>
                <w:rFonts w:ascii="Arial Narrow" w:hAnsi="Arial Narrow"/>
              </w:rPr>
              <w:br/>
              <w:t>- podporu včasnej detekcie a zvýšenie schopnosti reakcie na kybernetické bezpečnostné incidenty a na adaptáciu najmodernejších technológií, na zvýšenie odolnosti základných služieb pred kybernetickými hrozbami, vrátane podpory inovatívnych produktov a služieb až po úroveň TRL 9.</w:t>
            </w:r>
          </w:p>
        </w:tc>
      </w:tr>
      <w:tr w:rsidR="00CB4106" w:rsidRPr="00723C2E" w14:paraId="127C9C90" w14:textId="77777777" w:rsidTr="00CB4106">
        <w:trPr>
          <w:trHeight w:val="1972"/>
        </w:trPr>
        <w:tc>
          <w:tcPr>
            <w:tcW w:w="1696" w:type="dxa"/>
            <w:shd w:val="clear" w:color="auto" w:fill="FFF2CC" w:themeFill="accent4" w:themeFillTint="33"/>
            <w:hideMark/>
          </w:tcPr>
          <w:p w14:paraId="16E4984E" w14:textId="73ED2B50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  <w:b/>
              </w:rPr>
              <w:t>RSO1.4.</w:t>
            </w:r>
            <w:r w:rsidRPr="00723C2E">
              <w:rPr>
                <w:rFonts w:ascii="Arial Narrow" w:hAnsi="Arial Narrow"/>
              </w:rPr>
              <w:t xml:space="preserve"> Rozvoj</w:t>
            </w:r>
            <w:r w:rsidR="00C868F0">
              <w:rPr>
                <w:rFonts w:ascii="Arial Narrow" w:hAnsi="Arial Narrow"/>
              </w:rPr>
              <w:t xml:space="preserve"> zručností</w:t>
            </w:r>
            <w:r w:rsidRPr="00723C2E">
              <w:rPr>
                <w:rFonts w:ascii="Arial Narrow" w:hAnsi="Arial Narrow"/>
              </w:rPr>
              <w:t xml:space="preserve"> pre inteligentnú špecializáciu, priemyselnú</w:t>
            </w:r>
            <w:r w:rsidRPr="00723C2E">
              <w:rPr>
                <w:rFonts w:ascii="Arial Narrow" w:hAnsi="Arial Narrow"/>
              </w:rPr>
              <w:br/>
              <w:t>transformáciu a podnikanie (EFRR)</w:t>
            </w:r>
          </w:p>
        </w:tc>
        <w:tc>
          <w:tcPr>
            <w:tcW w:w="2549" w:type="dxa"/>
            <w:hideMark/>
          </w:tcPr>
          <w:p w14:paraId="5AB3B0A4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723C2E">
              <w:rPr>
                <w:rFonts w:ascii="Arial Narrow" w:hAnsi="Arial Narrow"/>
                <w:b/>
              </w:rPr>
              <w:t>1.4.2 Digitálne zručnosti prispôsobené doménam RIS3 a potrebám priemyselnej a zelenej transformácie</w:t>
            </w:r>
          </w:p>
        </w:tc>
        <w:tc>
          <w:tcPr>
            <w:tcW w:w="11201" w:type="dxa"/>
            <w:hideMark/>
          </w:tcPr>
          <w:p w14:paraId="3A8C6848" w14:textId="7A0117BF" w:rsidR="00CB4106" w:rsidRPr="00723C2E" w:rsidRDefault="00CB4106" w:rsidP="00EE694F">
            <w:pPr>
              <w:spacing w:after="120"/>
              <w:rPr>
                <w:rFonts w:ascii="Arial Narrow" w:hAnsi="Arial Narrow"/>
              </w:rPr>
            </w:pPr>
            <w:r w:rsidRPr="00EE694F">
              <w:rPr>
                <w:rFonts w:ascii="Arial Narrow" w:hAnsi="Arial Narrow"/>
                <w:b/>
              </w:rPr>
              <w:t>Doména 1</w:t>
            </w:r>
            <w:r w:rsidR="002F1329">
              <w:rPr>
                <w:rFonts w:ascii="Arial Narrow" w:hAnsi="Arial Narrow"/>
                <w:b/>
              </w:rPr>
              <w:t xml:space="preserve"> -</w:t>
            </w:r>
            <w:r w:rsidR="002F1329" w:rsidRPr="002F1329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  <w:t xml:space="preserve"> </w:t>
            </w:r>
            <w:r w:rsidR="002F1329" w:rsidRPr="002F1329">
              <w:rPr>
                <w:rFonts w:ascii="Arial Narrow" w:hAnsi="Arial Narrow"/>
                <w:b/>
              </w:rPr>
              <w:t>Inovatívny priemysel pre 21. storočie</w:t>
            </w:r>
            <w:r w:rsidRPr="00723C2E">
              <w:rPr>
                <w:rFonts w:ascii="Arial Narrow" w:hAnsi="Arial Narrow"/>
              </w:rPr>
              <w:t>:</w:t>
            </w:r>
            <w:r w:rsidRPr="00723C2E">
              <w:rPr>
                <w:rFonts w:ascii="Arial Narrow" w:hAnsi="Arial Narrow"/>
              </w:rPr>
              <w:br/>
              <w:t>- programy (vrátane podpory pilotných projektov a schém) na rozvoj vzdelávania špecifických cieľových skupín, manažérov spoločností a riadiacich pracovníkov verejného a súkromného sektora a ich kompetencií v oblasti riadenia, ktoré sú nevyhnutné pre digitálnu transformáciu a inovácie spoločností pre potreby domén RIS3</w:t>
            </w:r>
            <w:r w:rsidR="0041687D">
              <w:rPr>
                <w:rFonts w:ascii="Arial Narrow" w:hAnsi="Arial Narrow"/>
              </w:rPr>
              <w:t xml:space="preserve"> 2021+</w:t>
            </w:r>
            <w:r w:rsidRPr="00723C2E">
              <w:rPr>
                <w:rFonts w:ascii="Arial Narrow" w:hAnsi="Arial Narrow"/>
              </w:rPr>
              <w:t>;</w:t>
            </w:r>
          </w:p>
          <w:p w14:paraId="378970CB" w14:textId="502DBC9E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>- vytvorenie dotačného programu, finančnej podpory vzdelávacích programov a analýzy potrieb (vrátane podpory pilotných projektov) najmä pre spoločnosti, ale aj ostatných príjemcov podpory, na podporu vzdelávania zamestnancov, vrátane neformálneho vzdelávania pre zamestnancov podnikov, školiaceho personálu, vrátane aktívnej podpory udržania a rozvoja špecialistov v relevantnom sektore, zameraného na zvyšovanie digitálnych zručností, pre potreby domén RIS3</w:t>
            </w:r>
            <w:r w:rsidR="0041687D">
              <w:rPr>
                <w:rFonts w:ascii="Arial Narrow" w:hAnsi="Arial Narrow"/>
              </w:rPr>
              <w:t xml:space="preserve"> 2021+</w:t>
            </w:r>
            <w:r w:rsidRPr="00723C2E">
              <w:rPr>
                <w:rFonts w:ascii="Arial Narrow" w:hAnsi="Arial Narrow"/>
              </w:rPr>
              <w:t>;</w:t>
            </w:r>
          </w:p>
          <w:p w14:paraId="2EB8DF08" w14:textId="396AD74C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>- podpora vzdelávania a zvyšovania počtu lektorov v oblasti digitálnych zručností zameraná striktne na plnenie potrieb domén RIS3</w:t>
            </w:r>
            <w:r w:rsidR="0041687D">
              <w:rPr>
                <w:rFonts w:ascii="Arial Narrow" w:hAnsi="Arial Narrow"/>
              </w:rPr>
              <w:t xml:space="preserve"> 2021+</w:t>
            </w:r>
            <w:r w:rsidRPr="00723C2E">
              <w:rPr>
                <w:rFonts w:ascii="Arial Narrow" w:hAnsi="Arial Narrow"/>
              </w:rPr>
              <w:t>;</w:t>
            </w:r>
          </w:p>
          <w:p w14:paraId="20A73943" w14:textId="623749CF" w:rsidR="00CC2E3C" w:rsidRDefault="00CB4106" w:rsidP="00CC2E3C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>- podpora aktivít, programov a pilotných projektov vzdelávania v oblasti zelenej transformácie, v prepojení na požiadavky digitálnej transformácie  vrátane podpory rozvoja zručností a využívanie tzv. dôveryhodných inteligentných technológií a práce s údajmi striktne pre potreby domén RIS3</w:t>
            </w:r>
            <w:r w:rsidR="0041687D">
              <w:rPr>
                <w:rFonts w:ascii="Arial Narrow" w:hAnsi="Arial Narrow"/>
              </w:rPr>
              <w:t xml:space="preserve"> 2021+</w:t>
            </w:r>
            <w:r w:rsidRPr="00723C2E">
              <w:rPr>
                <w:rFonts w:ascii="Arial Narrow" w:hAnsi="Arial Narrow"/>
              </w:rPr>
              <w:t>.</w:t>
            </w:r>
          </w:p>
          <w:p w14:paraId="05511418" w14:textId="6B763CE7" w:rsidR="00CB4106" w:rsidRPr="00723C2E" w:rsidRDefault="00CB4106" w:rsidP="00EE694F">
            <w:pPr>
              <w:spacing w:after="120"/>
              <w:rPr>
                <w:rFonts w:ascii="Arial Narrow" w:hAnsi="Arial Narrow"/>
              </w:rPr>
            </w:pPr>
            <w:r w:rsidRPr="00EE694F">
              <w:rPr>
                <w:rFonts w:ascii="Arial Narrow" w:hAnsi="Arial Narrow"/>
                <w:b/>
              </w:rPr>
              <w:t>Doména 3</w:t>
            </w:r>
            <w:r w:rsidR="002F1329">
              <w:rPr>
                <w:rFonts w:ascii="Arial Narrow" w:hAnsi="Arial Narrow"/>
                <w:b/>
              </w:rPr>
              <w:t xml:space="preserve"> - </w:t>
            </w:r>
            <w:r w:rsidR="002F1329" w:rsidRPr="002F1329">
              <w:rPr>
                <w:rFonts w:ascii="Arial Narrow" w:hAnsi="Arial Narrow"/>
                <w:b/>
              </w:rPr>
              <w:t>Digitálna transformácia Slovenska</w:t>
            </w:r>
            <w:r w:rsidRPr="00723C2E">
              <w:rPr>
                <w:rFonts w:ascii="Arial Narrow" w:hAnsi="Arial Narrow"/>
              </w:rPr>
              <w:t>:</w:t>
            </w:r>
            <w:r w:rsidRPr="00723C2E">
              <w:rPr>
                <w:rFonts w:ascii="Arial Narrow" w:hAnsi="Arial Narrow"/>
              </w:rPr>
              <w:br/>
              <w:t xml:space="preserve">- podpora vzdelávacích iniciatív, aktivít a programov (vrátane pilotných aktivít) vychádzajúcej z iniciatívy Európskej komisie </w:t>
            </w:r>
            <w:proofErr w:type="spellStart"/>
            <w:r w:rsidRPr="00723C2E">
              <w:rPr>
                <w:rFonts w:ascii="Arial Narrow" w:hAnsi="Arial Narrow"/>
              </w:rPr>
              <w:t>Digital</w:t>
            </w:r>
            <w:proofErr w:type="spellEnd"/>
            <w:r w:rsidRPr="00723C2E">
              <w:rPr>
                <w:rFonts w:ascii="Arial Narrow" w:hAnsi="Arial Narrow"/>
              </w:rPr>
              <w:t xml:space="preserve"> </w:t>
            </w:r>
            <w:proofErr w:type="spellStart"/>
            <w:r w:rsidRPr="00723C2E">
              <w:rPr>
                <w:rFonts w:ascii="Arial Narrow" w:hAnsi="Arial Narrow"/>
              </w:rPr>
              <w:t>Skills</w:t>
            </w:r>
            <w:proofErr w:type="spellEnd"/>
            <w:r w:rsidRPr="00723C2E">
              <w:rPr>
                <w:rFonts w:ascii="Arial Narrow" w:hAnsi="Arial Narrow"/>
              </w:rPr>
              <w:t xml:space="preserve"> and </w:t>
            </w:r>
            <w:proofErr w:type="spellStart"/>
            <w:r w:rsidRPr="00723C2E">
              <w:rPr>
                <w:rFonts w:ascii="Arial Narrow" w:hAnsi="Arial Narrow"/>
              </w:rPr>
              <w:t>Jobs</w:t>
            </w:r>
            <w:proofErr w:type="spellEnd"/>
            <w:r w:rsidRPr="00723C2E">
              <w:rPr>
                <w:rFonts w:ascii="Arial Narrow" w:hAnsi="Arial Narrow"/>
              </w:rPr>
              <w:t xml:space="preserve"> </w:t>
            </w:r>
            <w:proofErr w:type="spellStart"/>
            <w:r w:rsidRPr="00723C2E">
              <w:rPr>
                <w:rFonts w:ascii="Arial Narrow" w:hAnsi="Arial Narrow"/>
              </w:rPr>
              <w:t>Coalition</w:t>
            </w:r>
            <w:proofErr w:type="spellEnd"/>
            <w:r w:rsidRPr="00723C2E">
              <w:rPr>
                <w:rFonts w:ascii="Arial Narrow" w:hAnsi="Arial Narrow"/>
              </w:rPr>
              <w:t xml:space="preserve"> striktne pre potreby domén RIS3</w:t>
            </w:r>
            <w:r w:rsidR="0041687D">
              <w:rPr>
                <w:rFonts w:ascii="Arial Narrow" w:hAnsi="Arial Narrow"/>
              </w:rPr>
              <w:t xml:space="preserve"> 2021+</w:t>
            </w:r>
            <w:r w:rsidR="00845200">
              <w:rPr>
                <w:rFonts w:ascii="Arial Narrow" w:hAnsi="Arial Narrow"/>
              </w:rPr>
              <w:t xml:space="preserve">. </w:t>
            </w:r>
          </w:p>
        </w:tc>
      </w:tr>
    </w:tbl>
    <w:p w14:paraId="353C56B4" w14:textId="7C1D8379" w:rsidR="00CB4106" w:rsidRPr="00BC321E" w:rsidRDefault="00BC321E" w:rsidP="00BC321E">
      <w:pPr>
        <w:pStyle w:val="L1"/>
        <w:numPr>
          <w:ilvl w:val="0"/>
          <w:numId w:val="46"/>
        </w:numPr>
        <w:spacing w:after="240"/>
        <w:rPr>
          <w:sz w:val="22"/>
          <w:szCs w:val="22"/>
        </w:rPr>
      </w:pPr>
      <w:r w:rsidRPr="00BC321E">
        <w:rPr>
          <w:sz w:val="22"/>
          <w:szCs w:val="22"/>
        </w:rPr>
        <w:lastRenderedPageBreak/>
        <w:t>Vylučujúce hodnotiace kritéria</w:t>
      </w:r>
    </w:p>
    <w:p w14:paraId="2BE88735" w14:textId="654008F1" w:rsidR="00C349E7" w:rsidRDefault="00BC321E" w:rsidP="00FC581E">
      <w:pPr>
        <w:keepNext/>
        <w:spacing w:after="2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Nižšie definované h</w:t>
      </w:r>
      <w:r w:rsidR="00841262" w:rsidRPr="00F23A87">
        <w:rPr>
          <w:rFonts w:ascii="Arial Narrow" w:hAnsi="Arial Narrow"/>
        </w:rPr>
        <w:t>odnotiace kritériá</w:t>
      </w:r>
      <w:r w:rsidR="00D4636E">
        <w:rPr>
          <w:rFonts w:ascii="Arial Narrow" w:hAnsi="Arial Narrow"/>
        </w:rPr>
        <w:t xml:space="preserve"> </w:t>
      </w:r>
      <w:r w:rsidR="00D4636E" w:rsidRPr="00D4636E">
        <w:rPr>
          <w:rFonts w:ascii="Arial Narrow" w:hAnsi="Arial Narrow"/>
        </w:rPr>
        <w:t>tzv. vecné kritéria</w:t>
      </w:r>
      <w:r w:rsidR="00841262" w:rsidRPr="00F23A87">
        <w:rPr>
          <w:rFonts w:ascii="Arial Narrow" w:hAnsi="Arial Narrow"/>
        </w:rPr>
        <w:t xml:space="preserve"> žiadostí o poskytnutie nenávratného finančného príspevku (ďalej ako „</w:t>
      </w:r>
      <w:proofErr w:type="spellStart"/>
      <w:r w:rsidR="00841262" w:rsidRPr="00F23A87">
        <w:rPr>
          <w:rFonts w:ascii="Arial Narrow" w:hAnsi="Arial Narrow"/>
        </w:rPr>
        <w:t>ŽoNFP</w:t>
      </w:r>
      <w:proofErr w:type="spellEnd"/>
      <w:r w:rsidR="00841262" w:rsidRPr="00F23A87">
        <w:rPr>
          <w:rFonts w:ascii="Arial Narrow" w:hAnsi="Arial Narrow"/>
        </w:rPr>
        <w:t xml:space="preserve">“) predstavujú </w:t>
      </w:r>
      <w:r w:rsidR="00841262" w:rsidRPr="00F23A87">
        <w:rPr>
          <w:rFonts w:ascii="Arial Narrow" w:hAnsi="Arial Narrow"/>
          <w:b/>
        </w:rPr>
        <w:t>vylučujúc</w:t>
      </w:r>
      <w:r w:rsidR="00CB4106">
        <w:rPr>
          <w:rFonts w:ascii="Arial Narrow" w:hAnsi="Arial Narrow"/>
          <w:b/>
        </w:rPr>
        <w:t>e kritéria</w:t>
      </w:r>
      <w:r w:rsidR="008B41CE" w:rsidRPr="00F23A87">
        <w:rPr>
          <w:rFonts w:ascii="Arial Narrow" w:hAnsi="Arial Narrow"/>
          <w:b/>
        </w:rPr>
        <w:t xml:space="preserve">, </w:t>
      </w:r>
      <w:r w:rsidR="008B41CE" w:rsidRPr="00F50271">
        <w:rPr>
          <w:rFonts w:ascii="Arial Narrow" w:hAnsi="Arial Narrow"/>
        </w:rPr>
        <w:t>ktoré</w:t>
      </w:r>
      <w:r w:rsidR="00841262" w:rsidRPr="00F50271">
        <w:rPr>
          <w:rFonts w:ascii="Arial Narrow" w:hAnsi="Arial Narrow"/>
        </w:rPr>
        <w:t xml:space="preserve"> </w:t>
      </w:r>
      <w:r w:rsidR="00841262" w:rsidRPr="00F23A87">
        <w:rPr>
          <w:rFonts w:ascii="Arial Narrow" w:hAnsi="Arial Narrow"/>
        </w:rPr>
        <w:t xml:space="preserve">sú vyhodnocované iba možnosťou </w:t>
      </w:r>
      <w:r w:rsidR="00841262" w:rsidRPr="00F23A87">
        <w:rPr>
          <w:rFonts w:ascii="Arial Narrow" w:hAnsi="Arial Narrow"/>
          <w:b/>
        </w:rPr>
        <w:t>áno</w:t>
      </w:r>
      <w:r w:rsidR="00F50271">
        <w:rPr>
          <w:rFonts w:ascii="Arial Narrow" w:hAnsi="Arial Narrow"/>
          <w:b/>
        </w:rPr>
        <w:t xml:space="preserve"> alebo </w:t>
      </w:r>
      <w:r w:rsidR="00841262" w:rsidRPr="00F23A87">
        <w:rPr>
          <w:rFonts w:ascii="Arial Narrow" w:hAnsi="Arial Narrow"/>
          <w:b/>
        </w:rPr>
        <w:t>nie</w:t>
      </w:r>
      <w:r w:rsidR="00841262" w:rsidRPr="00F23A87">
        <w:rPr>
          <w:rFonts w:ascii="Arial Narrow" w:hAnsi="Arial Narrow"/>
        </w:rPr>
        <w:t xml:space="preserve">, pričom </w:t>
      </w:r>
      <w:r w:rsidR="00841262" w:rsidRPr="00EE694F">
        <w:rPr>
          <w:rFonts w:ascii="Arial Narrow" w:hAnsi="Arial Narrow"/>
          <w:b/>
        </w:rPr>
        <w:t>,,</w:t>
      </w:r>
      <w:r w:rsidR="00841262" w:rsidRPr="00F23A87">
        <w:rPr>
          <w:rFonts w:ascii="Arial Narrow" w:hAnsi="Arial Narrow"/>
          <w:b/>
        </w:rPr>
        <w:t>nie“</w:t>
      </w:r>
      <w:r w:rsidR="00841262" w:rsidRPr="00F23A87">
        <w:rPr>
          <w:rFonts w:ascii="Arial Narrow" w:hAnsi="Arial Narrow"/>
        </w:rPr>
        <w:t xml:space="preserve"> znamená automaticky </w:t>
      </w:r>
      <w:r w:rsidR="00841262" w:rsidRPr="00F23A87">
        <w:rPr>
          <w:rFonts w:ascii="Arial Narrow" w:hAnsi="Arial Narrow"/>
          <w:b/>
        </w:rPr>
        <w:t>nesplnenie kritérií</w:t>
      </w:r>
      <w:r w:rsidR="00841262" w:rsidRPr="00F23A87">
        <w:rPr>
          <w:rFonts w:ascii="Arial Narrow" w:hAnsi="Arial Narrow"/>
        </w:rPr>
        <w:t xml:space="preserve"> pre výber projektov a </w:t>
      </w:r>
      <w:r w:rsidR="00841262" w:rsidRPr="00F23A87">
        <w:rPr>
          <w:rFonts w:ascii="Arial Narrow" w:hAnsi="Arial Narrow"/>
          <w:b/>
        </w:rPr>
        <w:t xml:space="preserve">neschválenie </w:t>
      </w:r>
      <w:proofErr w:type="spellStart"/>
      <w:r w:rsidR="00841262" w:rsidRPr="00F23A87">
        <w:rPr>
          <w:rFonts w:ascii="Arial Narrow" w:hAnsi="Arial Narrow"/>
          <w:b/>
        </w:rPr>
        <w:t>ŽoNFP</w:t>
      </w:r>
      <w:proofErr w:type="spellEnd"/>
      <w:r w:rsidR="00841262" w:rsidRPr="00F23A87">
        <w:rPr>
          <w:rFonts w:ascii="Arial Narrow" w:hAnsi="Arial Narrow"/>
          <w:b/>
        </w:rPr>
        <w:t>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64"/>
        <w:gridCol w:w="7520"/>
        <w:gridCol w:w="1120"/>
        <w:gridCol w:w="4038"/>
      </w:tblGrid>
      <w:tr w:rsidR="002526E6" w:rsidRPr="00F23A87" w14:paraId="39E51D01" w14:textId="77777777" w:rsidTr="00D72856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A55D550" w14:textId="5C775ABA" w:rsidR="002526E6" w:rsidRPr="00F50271" w:rsidRDefault="002526E6" w:rsidP="002526E6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526E6" w:rsidRPr="00F23A87" w14:paraId="6AC6DDD1" w14:textId="77777777" w:rsidTr="00FC581E">
        <w:trPr>
          <w:trHeight w:val="300"/>
          <w:jc w:val="center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64985043" w14:textId="7CADA3DF" w:rsidR="002526E6" w:rsidRPr="002526E6" w:rsidRDefault="002526E6" w:rsidP="00691593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736" w:type="pct"/>
            <w:vMerge w:val="restart"/>
            <w:shd w:val="clear" w:color="auto" w:fill="DEEAF6" w:themeFill="accent1" w:themeFillTint="33"/>
            <w:vAlign w:val="center"/>
          </w:tcPr>
          <w:p w14:paraId="46437710" w14:textId="22F019E8" w:rsidR="002526E6" w:rsidRPr="001D63EF" w:rsidRDefault="002526E6" w:rsidP="00D12807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Príspevok    projektu k cieľom a </w:t>
            </w:r>
            <w:r w:rsidR="00D12807"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aktivitám </w:t>
            </w:r>
            <w:r w:rsidR="00F50388"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Programu Slovensko 2021 -2027</w:t>
            </w:r>
            <w:r w:rsidR="0062463B"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</w:t>
            </w:r>
            <w:r w:rsidR="0062463B" w:rsidRPr="008D16C5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a k výsledkom Partnerskej dohody </w:t>
            </w:r>
          </w:p>
        </w:tc>
        <w:tc>
          <w:tcPr>
            <w:tcW w:w="2445" w:type="pct"/>
            <w:shd w:val="clear" w:color="auto" w:fill="DEEAF6" w:themeFill="accent1" w:themeFillTint="33"/>
            <w:vAlign w:val="center"/>
            <w:hideMark/>
          </w:tcPr>
          <w:p w14:paraId="25967905" w14:textId="49BBD767" w:rsidR="002526E6" w:rsidRPr="001D63EF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64" w:type="pct"/>
            <w:shd w:val="clear" w:color="auto" w:fill="DEEAF6" w:themeFill="accent1" w:themeFillTint="33"/>
            <w:vAlign w:val="center"/>
            <w:hideMark/>
          </w:tcPr>
          <w:p w14:paraId="18AD7D80" w14:textId="77777777" w:rsidR="002526E6" w:rsidRPr="00F50271" w:rsidRDefault="002526E6" w:rsidP="002526E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312" w:type="pct"/>
            <w:shd w:val="clear" w:color="auto" w:fill="DEEAF6" w:themeFill="accent1" w:themeFillTint="33"/>
            <w:vAlign w:val="center"/>
            <w:hideMark/>
          </w:tcPr>
          <w:p w14:paraId="52B45251" w14:textId="2A244993" w:rsidR="002526E6" w:rsidRPr="00F50271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F23A87" w14:paraId="6AACFD2B" w14:textId="77777777" w:rsidTr="00EE694F">
        <w:trPr>
          <w:trHeight w:val="961"/>
          <w:jc w:val="center"/>
        </w:trPr>
        <w:tc>
          <w:tcPr>
            <w:tcW w:w="142" w:type="pct"/>
            <w:vMerge/>
          </w:tcPr>
          <w:p w14:paraId="54092EF4" w14:textId="77777777" w:rsidR="002526E6" w:rsidRPr="00F50271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780AD13F" w14:textId="282950B0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 w:val="restart"/>
            <w:shd w:val="clear" w:color="auto" w:fill="auto"/>
            <w:vAlign w:val="center"/>
          </w:tcPr>
          <w:p w14:paraId="1DD59C7E" w14:textId="0F910A75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Posudzuje sa súlad projektu s intervenčnou stratégiou </w:t>
            </w:r>
            <w:r w:rsidR="00F50388" w:rsidRPr="001D63EF">
              <w:rPr>
                <w:rFonts w:ascii="Arial Narrow" w:eastAsia="Times New Roman" w:hAnsi="Arial Narrow" w:cs="Arial"/>
                <w:lang w:eastAsia="sk-SK"/>
              </w:rPr>
              <w:t>programu Slovensko 2021 – 2027 (ďalej ako „P SK“)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 v nasledovných oblastiach:</w:t>
            </w:r>
          </w:p>
          <w:p w14:paraId="26E154E2" w14:textId="0A66A3AD" w:rsidR="002526E6" w:rsidRPr="00CE4916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1) súlad projektu s niektorým z nasledujúcich špecifických cieľov: </w:t>
            </w:r>
            <w:r w:rsidRPr="001D63EF">
              <w:rPr>
                <w:rFonts w:ascii="Arial Narrow" w:eastAsia="Times New Roman" w:hAnsi="Arial Narrow" w:cs="Arial"/>
                <w:b/>
                <w:lang w:eastAsia="sk-SK"/>
              </w:rPr>
              <w:t>RSO1.2</w:t>
            </w:r>
            <w:r w:rsidR="00497AA9" w:rsidRPr="001D63EF">
              <w:rPr>
                <w:rFonts w:ascii="Arial Narrow" w:eastAsia="Times New Roman" w:hAnsi="Arial Narrow" w:cs="Arial"/>
                <w:b/>
                <w:lang w:eastAsia="sk-SK"/>
              </w:rPr>
              <w:t xml:space="preserve"> (opatrenie 1.2.1)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, </w:t>
            </w:r>
            <w:r w:rsidR="0062463B" w:rsidRPr="001D63EF">
              <w:rPr>
                <w:rFonts w:ascii="Arial Narrow" w:eastAsia="Times New Roman" w:hAnsi="Arial Narrow" w:cs="Arial"/>
                <w:lang w:eastAsia="sk-SK"/>
              </w:rPr>
              <w:t xml:space="preserve">alebo </w:t>
            </w:r>
            <w:r w:rsidRPr="001D63EF">
              <w:rPr>
                <w:rFonts w:ascii="Arial Narrow" w:eastAsia="Times New Roman" w:hAnsi="Arial Narrow" w:cs="Arial"/>
                <w:b/>
                <w:lang w:eastAsia="sk-SK"/>
              </w:rPr>
              <w:t>RSO1.4</w:t>
            </w:r>
            <w:r w:rsidR="00497AA9" w:rsidRPr="001D63EF">
              <w:rPr>
                <w:rFonts w:ascii="Arial Narrow" w:eastAsia="Times New Roman" w:hAnsi="Arial Narrow" w:cs="Arial"/>
                <w:lang w:eastAsia="sk-SK"/>
              </w:rPr>
              <w:t xml:space="preserve"> (</w:t>
            </w:r>
            <w:r w:rsidR="00497AA9" w:rsidRPr="00CE4916">
              <w:rPr>
                <w:rFonts w:ascii="Arial Narrow" w:eastAsia="Times New Roman" w:hAnsi="Arial Narrow" w:cs="Arial"/>
                <w:b/>
                <w:lang w:eastAsia="sk-SK"/>
              </w:rPr>
              <w:t>opatrenie 1.4.2</w:t>
            </w:r>
            <w:r w:rsidR="00497AA9" w:rsidRPr="00CE4916">
              <w:rPr>
                <w:rFonts w:ascii="Arial Narrow" w:eastAsia="Times New Roman" w:hAnsi="Arial Narrow" w:cs="Arial"/>
                <w:lang w:eastAsia="sk-SK"/>
              </w:rPr>
              <w:t>)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</w:p>
          <w:p w14:paraId="2D82240A" w14:textId="2BB16849" w:rsidR="002526E6" w:rsidRPr="00CE4916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eastAsia="sk-SK"/>
              </w:rPr>
              <w:t>2) súlad s očakávanými výsledkami</w:t>
            </w:r>
            <w:r w:rsidR="0014583F" w:rsidRPr="008D16C5">
              <w:rPr>
                <w:rFonts w:ascii="Arial Narrow" w:eastAsia="Times New Roman" w:hAnsi="Arial Narrow" w:cs="Arial"/>
                <w:lang w:eastAsia="sk-SK"/>
              </w:rPr>
              <w:t xml:space="preserve"> definovanými v Partnerskej dohode pre relevantný špecifický cieľ RSO 1.2 a</w:t>
            </w:r>
            <w:r w:rsidR="0062463B" w:rsidRPr="001D63EF">
              <w:rPr>
                <w:rFonts w:ascii="Arial Narrow" w:eastAsia="Times New Roman" w:hAnsi="Arial Narrow" w:cs="Arial"/>
                <w:lang w:eastAsia="sk-SK"/>
              </w:rPr>
              <w:t>lebo</w:t>
            </w:r>
            <w:r w:rsidR="0014583F" w:rsidRPr="001D63EF">
              <w:rPr>
                <w:rFonts w:ascii="Arial Narrow" w:eastAsia="Times New Roman" w:hAnsi="Arial Narrow" w:cs="Arial"/>
                <w:lang w:eastAsia="sk-SK"/>
              </w:rPr>
              <w:t> RSO 1.4</w:t>
            </w:r>
            <w:r w:rsidR="0014583F" w:rsidRPr="00CE4916">
              <w:rPr>
                <w:rStyle w:val="Odkaznapoznmkupodiarou"/>
                <w:rFonts w:ascii="Arial Narrow" w:eastAsia="Times New Roman" w:hAnsi="Arial Narrow"/>
                <w:lang w:eastAsia="sk-SK"/>
              </w:rPr>
              <w:footnoteReference w:id="5"/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>,</w:t>
            </w:r>
          </w:p>
          <w:p w14:paraId="74AD677A" w14:textId="77777777" w:rsidR="002526E6" w:rsidRPr="008D16C5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eastAsia="sk-SK"/>
              </w:rPr>
              <w:t>3) súlad s definovanými typmi oprávnených aktivít v rámci výzvy.</w:t>
            </w:r>
          </w:p>
          <w:p w14:paraId="3B6796FA" w14:textId="77777777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  <w:p w14:paraId="6A388672" w14:textId="1017BEC7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Na rozdiel od administratívneho overenia ide o hĺbkové posúdenie vecnej (obsahovej) stránky projektu z hľadiska jeho súladu s intervenčnou stratégiou P SK.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8AB66F" w14:textId="77777777" w:rsidR="002526E6" w:rsidRPr="00F50271" w:rsidRDefault="002526E6" w:rsidP="002526E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05856CD6" w14:textId="69E136F7" w:rsidR="002526E6" w:rsidRPr="00F50271" w:rsidRDefault="002526E6" w:rsidP="002526E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je v súlade s intervenčnou stratégiou P SK v príslušných oblastiach</w:t>
            </w:r>
            <w:r w:rsidRPr="00F50271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  <w:tr w:rsidR="002526E6" w:rsidRPr="00F23A87" w14:paraId="7022677D" w14:textId="77777777" w:rsidTr="00FC581E">
        <w:trPr>
          <w:trHeight w:val="555"/>
          <w:jc w:val="center"/>
        </w:trPr>
        <w:tc>
          <w:tcPr>
            <w:tcW w:w="142" w:type="pct"/>
            <w:vMerge/>
          </w:tcPr>
          <w:p w14:paraId="3AC4BA3C" w14:textId="77777777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73A2E045" w14:textId="4AC3208E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/>
            <w:shd w:val="clear" w:color="auto" w:fill="auto"/>
            <w:vAlign w:val="center"/>
          </w:tcPr>
          <w:p w14:paraId="09795A01" w14:textId="520A63C8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F7E83C0" w14:textId="77777777" w:rsidR="002526E6" w:rsidRPr="00F50271" w:rsidRDefault="002526E6" w:rsidP="002526E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039116C0" w14:textId="575353C8" w:rsidR="002526E6" w:rsidRPr="00F50271" w:rsidRDefault="002526E6" w:rsidP="002526E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nie je v súlade s intervenčnou stratégiou P SK v príslušných oblastiach</w:t>
            </w:r>
            <w:r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73B98683" w14:textId="77777777" w:rsidR="00466376" w:rsidRPr="00F50271" w:rsidRDefault="00466376" w:rsidP="00466376">
      <w:pPr>
        <w:tabs>
          <w:tab w:val="left" w:pos="1620"/>
        </w:tabs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posudzuje najmä informácie uvedené v častiach 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>: 5. Identifikácia projektu, 7. Popis projektu, 10.1 Aktivity projektu a očakávané merateľné ukazovatele.</w:t>
      </w:r>
    </w:p>
    <w:p w14:paraId="2F6A4BE6" w14:textId="77777777" w:rsidR="00466376" w:rsidRPr="00F50271" w:rsidRDefault="00466376" w:rsidP="00466376">
      <w:pPr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posúdi, či je správne a dostatočne deklarovaný súlad 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 xml:space="preserve"> s intervenčnou stratégiou P SK v nasledovných aspektoch:</w:t>
      </w:r>
    </w:p>
    <w:p w14:paraId="1BEE7738" w14:textId="5D4F2452" w:rsidR="00466376" w:rsidRPr="00F50271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F50271">
        <w:rPr>
          <w:rFonts w:ascii="Arial Narrow" w:hAnsi="Arial Narrow" w:cs="Arial"/>
          <w:color w:val="000000" w:themeColor="text1"/>
          <w:lang w:val="sk-SK"/>
        </w:rPr>
        <w:t>súlad s príslušným špecifickým cieľom,</w:t>
      </w:r>
    </w:p>
    <w:p w14:paraId="26606FD2" w14:textId="362E11D1" w:rsidR="00466376" w:rsidRPr="00F50271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F50271">
        <w:rPr>
          <w:rFonts w:ascii="Arial Narrow" w:hAnsi="Arial Narrow" w:cs="Arial"/>
          <w:color w:val="000000" w:themeColor="text1"/>
          <w:lang w:val="sk-SK"/>
        </w:rPr>
        <w:t xml:space="preserve">súlad s očakávanými </w:t>
      </w:r>
      <w:r w:rsidRPr="00CE4916">
        <w:rPr>
          <w:rFonts w:ascii="Arial Narrow" w:hAnsi="Arial Narrow" w:cs="Arial"/>
          <w:color w:val="000000" w:themeColor="text1"/>
          <w:lang w:val="sk-SK"/>
        </w:rPr>
        <w:t>výsledkami</w:t>
      </w:r>
      <w:r w:rsidR="0014583F" w:rsidRPr="00CE4916">
        <w:rPr>
          <w:rFonts w:ascii="Arial Narrow" w:hAnsi="Arial Narrow" w:cs="Arial"/>
          <w:color w:val="000000" w:themeColor="text1"/>
          <w:lang w:val="sk-SK"/>
        </w:rPr>
        <w:t xml:space="preserve"> definovanými v Partnerskej dohode pre relevantný špecifický cieľ RSO 1.2 a</w:t>
      </w:r>
      <w:r w:rsidR="0062463B" w:rsidRPr="00CE4916">
        <w:rPr>
          <w:rFonts w:ascii="Arial Narrow" w:hAnsi="Arial Narrow" w:cs="Arial"/>
          <w:color w:val="000000" w:themeColor="text1"/>
          <w:lang w:val="sk-SK"/>
        </w:rPr>
        <w:t>lebo</w:t>
      </w:r>
      <w:r w:rsidR="0014583F" w:rsidRPr="00CE4916">
        <w:rPr>
          <w:rFonts w:ascii="Arial Narrow" w:hAnsi="Arial Narrow" w:cs="Arial"/>
          <w:color w:val="000000" w:themeColor="text1"/>
          <w:lang w:val="sk-SK"/>
        </w:rPr>
        <w:t> RSO 1.4</w:t>
      </w:r>
      <w:r w:rsidRPr="00F50271">
        <w:rPr>
          <w:rFonts w:ascii="Arial Narrow" w:hAnsi="Arial Narrow" w:cs="Arial"/>
          <w:color w:val="000000" w:themeColor="text1"/>
          <w:lang w:val="sk-SK"/>
        </w:rPr>
        <w:t>,</w:t>
      </w:r>
    </w:p>
    <w:p w14:paraId="5CAE81E9" w14:textId="77777777" w:rsidR="00466376" w:rsidRPr="00F50271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F50271">
        <w:rPr>
          <w:rFonts w:ascii="Arial Narrow" w:hAnsi="Arial Narrow" w:cs="Arial"/>
          <w:color w:val="000000" w:themeColor="text1"/>
          <w:lang w:val="sk-SK"/>
        </w:rPr>
        <w:t>súlad s definovanými typmi oprávnených aktivít v rámci výzvy.</w:t>
      </w:r>
    </w:p>
    <w:p w14:paraId="2DBAB172" w14:textId="4E3BBE2B" w:rsidR="00466376" w:rsidRPr="00F50271" w:rsidRDefault="00466376" w:rsidP="00466376">
      <w:pPr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posúdi, či deklarovaný príspevok vyplýva z realizácie konkrétnych aktivít projektu. </w:t>
      </w:r>
      <w:r w:rsidRPr="00F50271">
        <w:rPr>
          <w:rFonts w:ascii="Arial Narrow" w:hAnsi="Arial Narrow" w:cs="Arial"/>
          <w:b/>
          <w:color w:val="000000" w:themeColor="text1"/>
        </w:rPr>
        <w:t xml:space="preserve">V prípade, že </w:t>
      </w:r>
      <w:proofErr w:type="spellStart"/>
      <w:r w:rsidRPr="00F50271">
        <w:rPr>
          <w:rFonts w:ascii="Arial Narrow" w:hAnsi="Arial Narrow" w:cs="Arial"/>
          <w:b/>
          <w:color w:val="000000" w:themeColor="text1"/>
        </w:rPr>
        <w:t>ŽoNFP</w:t>
      </w:r>
      <w:proofErr w:type="spellEnd"/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 je v súlade s intervenčnou stratégiou P SK vo všetkých troch uvedených </w:t>
      </w:r>
      <w:r w:rsidR="008B41CE" w:rsidRPr="00F50271">
        <w:rPr>
          <w:rFonts w:ascii="Arial Narrow" w:eastAsia="Helvetica" w:hAnsi="Arial Narrow" w:cs="Arial"/>
          <w:b/>
          <w:color w:val="000000" w:themeColor="text1"/>
        </w:rPr>
        <w:t>oblastiach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, hodnotiteľ priradí odpoveď </w:t>
      </w:r>
      <w:r w:rsidR="00F53CF8">
        <w:rPr>
          <w:rFonts w:ascii="Arial Narrow" w:eastAsia="Helvetica" w:hAnsi="Arial Narrow" w:cs="Arial"/>
          <w:b/>
          <w:color w:val="000000" w:themeColor="text1"/>
        </w:rPr>
        <w:t>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áno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 V opačnom prípade prirad</w:t>
      </w:r>
      <w:r w:rsidR="00F53CF8">
        <w:rPr>
          <w:rFonts w:ascii="Arial Narrow" w:eastAsia="Helvetica" w:hAnsi="Arial Narrow" w:cs="Arial"/>
          <w:b/>
          <w:color w:val="000000" w:themeColor="text1"/>
        </w:rPr>
        <w:t>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nie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</w:t>
      </w:r>
    </w:p>
    <w:p w14:paraId="6E36282B" w14:textId="6AF61043" w:rsidR="00466376" w:rsidRDefault="00466376" w:rsidP="00FC581E">
      <w:pPr>
        <w:spacing w:after="24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b/>
          <w:color w:val="000000" w:themeColor="text1"/>
        </w:rPr>
        <w:t>Hodnotiteľ svoju odpoveď zdôvodní</w:t>
      </w:r>
      <w:r w:rsidRPr="00F50271">
        <w:rPr>
          <w:rFonts w:ascii="Arial Narrow" w:hAnsi="Arial Narrow" w:cs="Arial"/>
          <w:color w:val="000000" w:themeColor="text1"/>
        </w:rPr>
        <w:t xml:space="preserve"> v hodnotiacom hárku odborného hodnotenia v časti </w:t>
      </w:r>
      <w:r w:rsidR="00F50271">
        <w:rPr>
          <w:rFonts w:ascii="Arial Narrow" w:hAnsi="Arial Narrow" w:cs="Arial"/>
          <w:color w:val="000000" w:themeColor="text1"/>
        </w:rPr>
        <w:t xml:space="preserve">„Komentár“ </w:t>
      </w:r>
      <w:r w:rsidRPr="00F50271">
        <w:rPr>
          <w:rFonts w:ascii="Arial Narrow" w:hAnsi="Arial Narrow" w:cs="Arial"/>
          <w:color w:val="000000" w:themeColor="text1"/>
        </w:rPr>
        <w:t>a súčasne uvedie odkaz na dokument alebo relevantnú časť (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64"/>
        <w:gridCol w:w="7520"/>
        <w:gridCol w:w="1120"/>
        <w:gridCol w:w="4038"/>
      </w:tblGrid>
      <w:tr w:rsidR="00D72856" w:rsidRPr="00F23A87" w14:paraId="3AA09C27" w14:textId="77777777" w:rsidTr="00F77C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100E6BD" w14:textId="77777777" w:rsidR="00D72856" w:rsidRPr="00F50271" w:rsidRDefault="00D72856" w:rsidP="00F77C01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D72856" w:rsidRPr="00F23A87" w14:paraId="29B94031" w14:textId="77777777" w:rsidTr="00213C02">
        <w:trPr>
          <w:trHeight w:val="550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3E93668D" w14:textId="0E861419" w:rsidR="00D72856" w:rsidRPr="002526E6" w:rsidRDefault="00D72856" w:rsidP="00691593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2. </w:t>
            </w:r>
          </w:p>
        </w:tc>
        <w:tc>
          <w:tcPr>
            <w:tcW w:w="736" w:type="pct"/>
            <w:vMerge w:val="restart"/>
            <w:shd w:val="clear" w:color="auto" w:fill="DEEAF6" w:themeFill="accent1" w:themeFillTint="33"/>
            <w:vAlign w:val="center"/>
          </w:tcPr>
          <w:p w14:paraId="149252F3" w14:textId="1EA1E38A" w:rsidR="00F459F2" w:rsidRDefault="00D7285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Je projekt v súlade s Národnou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lastRenderedPageBreak/>
              <w:t xml:space="preserve">koncepciou </w:t>
            </w:r>
            <w:r w:rsidRPr="00D7285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informatizácie verejnej správy Slovenskej republiky</w:t>
            </w:r>
            <w:r w:rsidR="002462D4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</w:t>
            </w:r>
          </w:p>
          <w:p w14:paraId="7DCA738C" w14:textId="77777777" w:rsidR="00F459F2" w:rsidRDefault="002462D4">
            <w:pPr>
              <w:spacing w:after="0" w:line="240" w:lineRule="auto"/>
              <w:ind w:left="135" w:right="135"/>
              <w:textAlignment w:val="baseline"/>
              <w:rPr>
                <w:rFonts w:ascii="Arial Narrow" w:hAnsi="Arial Narrow"/>
                <w:u w:val="single"/>
              </w:rPr>
            </w:pPr>
            <w:r w:rsidRPr="00CE4916">
              <w:rPr>
                <w:rFonts w:ascii="Arial Narrow" w:eastAsia="Times New Roman" w:hAnsi="Arial Narrow" w:cs="Arial"/>
                <w:bCs/>
                <w:color w:val="000000"/>
                <w:lang w:eastAsia="sk-SK"/>
              </w:rPr>
              <w:t>(</w:t>
            </w:r>
            <w:r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relevantné pre</w:t>
            </w:r>
            <w:r w:rsidR="00F459F2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:</w:t>
            </w:r>
            <w:r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 xml:space="preserve"> </w:t>
            </w:r>
            <w:r w:rsidR="00173475"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 xml:space="preserve">špecifický cieľ </w:t>
            </w:r>
            <w:r w:rsidR="00173475" w:rsidRPr="00EA04BC">
              <w:rPr>
                <w:rFonts w:ascii="Arial Narrow" w:hAnsi="Arial Narrow"/>
                <w:b/>
                <w:u w:val="single"/>
              </w:rPr>
              <w:t>RSO1.2</w:t>
            </w:r>
            <w:r w:rsidR="00B925E5" w:rsidRPr="00CE4916">
              <w:rPr>
                <w:rFonts w:ascii="Arial Narrow" w:hAnsi="Arial Narrow"/>
                <w:u w:val="single"/>
              </w:rPr>
              <w:t xml:space="preserve">, opatrenie </w:t>
            </w:r>
            <w:r w:rsidR="00B925E5" w:rsidRPr="00EA04BC">
              <w:rPr>
                <w:rFonts w:ascii="Arial Narrow" w:hAnsi="Arial Narrow"/>
                <w:b/>
                <w:u w:val="single"/>
              </w:rPr>
              <w:t>1.2.1</w:t>
            </w:r>
            <w:r w:rsidR="00F459F2" w:rsidRPr="00EA04BC">
              <w:rPr>
                <w:rFonts w:ascii="Arial Narrow" w:hAnsi="Arial Narrow"/>
                <w:b/>
                <w:u w:val="single"/>
              </w:rPr>
              <w:t>B</w:t>
            </w:r>
            <w:r w:rsidR="00F459F2" w:rsidRPr="00CE4916">
              <w:rPr>
                <w:rFonts w:ascii="Arial Narrow" w:hAnsi="Arial Narrow"/>
                <w:u w:val="single"/>
              </w:rPr>
              <w:t xml:space="preserve"> a </w:t>
            </w:r>
          </w:p>
          <w:p w14:paraId="37D1F5A8" w14:textId="374C1B92" w:rsidR="00D72856" w:rsidRPr="002526E6" w:rsidRDefault="00F459F2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CE4916">
              <w:rPr>
                <w:rFonts w:ascii="Arial Narrow" w:hAnsi="Arial Narrow"/>
                <w:u w:val="single"/>
              </w:rPr>
              <w:t xml:space="preserve">oblasť </w:t>
            </w:r>
            <w:r w:rsidRPr="00EA04BC">
              <w:rPr>
                <w:rFonts w:ascii="Arial Narrow" w:hAnsi="Arial Narrow"/>
                <w:b/>
                <w:u w:val="single"/>
              </w:rPr>
              <w:t>Kybernetická a informačná bezpečnosť</w:t>
            </w:r>
            <w:r w:rsidR="002462D4" w:rsidRPr="00CE4916">
              <w:rPr>
                <w:rFonts w:ascii="Arial Narrow" w:eastAsia="Times New Roman" w:hAnsi="Arial Narrow" w:cs="Arial"/>
                <w:bCs/>
                <w:color w:val="000000"/>
                <w:lang w:eastAsia="sk-SK"/>
              </w:rPr>
              <w:t>)</w:t>
            </w:r>
            <w:r w:rsidRPr="00CE4916">
              <w:rPr>
                <w:rFonts w:ascii="Arial Narrow" w:eastAsia="Times New Roman" w:hAnsi="Arial Narrow" w:cs="Arial"/>
                <w:bCs/>
                <w:color w:val="000000"/>
                <w:lang w:eastAsia="sk-SK"/>
              </w:rPr>
              <w:t>?</w:t>
            </w:r>
          </w:p>
        </w:tc>
        <w:tc>
          <w:tcPr>
            <w:tcW w:w="2445" w:type="pct"/>
            <w:shd w:val="clear" w:color="auto" w:fill="DEEAF6" w:themeFill="accent1" w:themeFillTint="33"/>
            <w:vAlign w:val="center"/>
            <w:hideMark/>
          </w:tcPr>
          <w:p w14:paraId="0CC9FDFC" w14:textId="77777777" w:rsidR="00D72856" w:rsidRPr="00F50271" w:rsidRDefault="00D7285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lastRenderedPageBreak/>
              <w:t>Predmet posúdenia</w:t>
            </w:r>
          </w:p>
        </w:tc>
        <w:tc>
          <w:tcPr>
            <w:tcW w:w="364" w:type="pct"/>
            <w:shd w:val="clear" w:color="auto" w:fill="DEEAF6" w:themeFill="accent1" w:themeFillTint="33"/>
            <w:vAlign w:val="center"/>
            <w:hideMark/>
          </w:tcPr>
          <w:p w14:paraId="3C2158C1" w14:textId="77777777" w:rsidR="00D72856" w:rsidRPr="00F50271" w:rsidRDefault="00D72856" w:rsidP="00F77C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312" w:type="pct"/>
            <w:shd w:val="clear" w:color="auto" w:fill="DEEAF6" w:themeFill="accent1" w:themeFillTint="33"/>
            <w:vAlign w:val="center"/>
            <w:hideMark/>
          </w:tcPr>
          <w:p w14:paraId="6656C465" w14:textId="77777777" w:rsidR="00D72856" w:rsidRPr="00F50271" w:rsidRDefault="00D7285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D72856" w:rsidRPr="00F23A87" w14:paraId="72441250" w14:textId="77777777" w:rsidTr="00213C02">
        <w:trPr>
          <w:trHeight w:val="668"/>
        </w:trPr>
        <w:tc>
          <w:tcPr>
            <w:tcW w:w="142" w:type="pct"/>
            <w:vMerge/>
          </w:tcPr>
          <w:p w14:paraId="42E0680D" w14:textId="77777777" w:rsidR="00D72856" w:rsidRPr="00F50271" w:rsidRDefault="00D72856" w:rsidP="00F77C01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360482CE" w14:textId="77777777" w:rsidR="00D72856" w:rsidRPr="00F50271" w:rsidRDefault="00D72856" w:rsidP="00F77C01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 w:val="restart"/>
            <w:shd w:val="clear" w:color="auto" w:fill="auto"/>
            <w:vAlign w:val="center"/>
          </w:tcPr>
          <w:p w14:paraId="21A4A1DA" w14:textId="43A2E7BF" w:rsidR="00D72856" w:rsidRPr="00D72856" w:rsidRDefault="00D72856" w:rsidP="00D7285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 xml:space="preserve">Posudzuje sa súlad projektu s </w:t>
            </w:r>
            <w:r w:rsidR="00C868F0">
              <w:rPr>
                <w:rFonts w:ascii="Arial Narrow" w:eastAsia="Times New Roman" w:hAnsi="Arial Narrow" w:cs="Arial"/>
                <w:lang w:eastAsia="sk-SK"/>
              </w:rPr>
              <w:t xml:space="preserve">platnou </w:t>
            </w:r>
            <w:r w:rsidRPr="00D72856">
              <w:rPr>
                <w:rFonts w:ascii="Arial Narrow" w:eastAsia="Times New Roman" w:hAnsi="Arial Narrow" w:cs="Arial"/>
                <w:lang w:eastAsia="sk-SK"/>
              </w:rPr>
              <w:t>Národn</w:t>
            </w:r>
            <w:r>
              <w:rPr>
                <w:rFonts w:ascii="Arial Narrow" w:eastAsia="Times New Roman" w:hAnsi="Arial Narrow" w:cs="Arial"/>
                <w:lang w:eastAsia="sk-SK"/>
              </w:rPr>
              <w:t>ou</w:t>
            </w:r>
            <w:r w:rsidRPr="00D72856">
              <w:rPr>
                <w:rFonts w:ascii="Arial Narrow" w:eastAsia="Times New Roman" w:hAnsi="Arial Narrow" w:cs="Arial"/>
                <w:lang w:eastAsia="sk-SK"/>
              </w:rPr>
              <w:t xml:space="preserve"> koncepci</w:t>
            </w:r>
            <w:r>
              <w:rPr>
                <w:rFonts w:ascii="Arial Narrow" w:eastAsia="Times New Roman" w:hAnsi="Arial Narrow" w:cs="Arial"/>
                <w:lang w:eastAsia="sk-SK"/>
              </w:rPr>
              <w:t>ou</w:t>
            </w:r>
            <w:r w:rsidRPr="00D72856">
              <w:rPr>
                <w:rFonts w:ascii="Arial Narrow" w:eastAsia="Times New Roman" w:hAnsi="Arial Narrow" w:cs="Arial"/>
                <w:lang w:eastAsia="sk-SK"/>
              </w:rPr>
              <w:t xml:space="preserve"> informatizácie verejnej správy Slovenskej republiky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(ďalej ako „NKIVS“)</w:t>
            </w:r>
            <w:r w:rsidR="0014583F">
              <w:rPr>
                <w:rStyle w:val="Odkaznapoznmkupodiarou"/>
                <w:rFonts w:ascii="Arial Narrow" w:eastAsia="Times New Roman" w:hAnsi="Arial Narrow"/>
                <w:b/>
                <w:bCs/>
                <w:color w:val="000000"/>
                <w:lang w:eastAsia="sk-SK"/>
              </w:rPr>
              <w:t xml:space="preserve"> </w:t>
            </w:r>
            <w:r w:rsidR="0014583F">
              <w:rPr>
                <w:rStyle w:val="Odkaznapoznmkupodiarou"/>
                <w:rFonts w:ascii="Arial Narrow" w:eastAsia="Times New Roman" w:hAnsi="Arial Narrow"/>
                <w:b/>
                <w:bCs/>
                <w:color w:val="000000"/>
                <w:lang w:eastAsia="sk-SK"/>
              </w:rPr>
              <w:footnoteReference w:id="6"/>
            </w:r>
            <w:r>
              <w:rPr>
                <w:rFonts w:ascii="Arial Narrow" w:eastAsia="Times New Roman" w:hAnsi="Arial Narrow" w:cs="Arial"/>
                <w:lang w:eastAsia="sk-SK"/>
              </w:rPr>
              <w:t>.</w:t>
            </w:r>
          </w:p>
          <w:p w14:paraId="661AE8A2" w14:textId="6A06FF39" w:rsidR="00D72856" w:rsidRPr="00F50271" w:rsidRDefault="00D72856" w:rsidP="00D7285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  <w:p w14:paraId="2794A5B4" w14:textId="14348838" w:rsidR="00D72856" w:rsidRPr="00F50271" w:rsidRDefault="00D72856" w:rsidP="00F77C01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CA5B672" w14:textId="77777777" w:rsidR="00D72856" w:rsidRPr="00F50271" w:rsidRDefault="00D72856" w:rsidP="00F77C01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4C54F4E7" w14:textId="2C669FB5" w:rsidR="00D72856" w:rsidRPr="00F50271" w:rsidRDefault="00D72856" w:rsidP="00E2275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je v súlade s</w:t>
            </w:r>
            <w:r w:rsidR="00E22755">
              <w:rPr>
                <w:rFonts w:ascii="Arial Narrow" w:eastAsia="Times New Roman" w:hAnsi="Arial Narrow" w:cs="Arial"/>
                <w:lang w:eastAsia="sk-SK"/>
              </w:rPr>
              <w:t> niektorým zo strategických cieľov definovanom v NKIVS</w:t>
            </w:r>
            <w:r w:rsidRPr="00F50271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  <w:tr w:rsidR="00D72856" w:rsidRPr="00F23A87" w14:paraId="1A9ACABB" w14:textId="77777777" w:rsidTr="00213C02">
        <w:trPr>
          <w:trHeight w:val="555"/>
        </w:trPr>
        <w:tc>
          <w:tcPr>
            <w:tcW w:w="142" w:type="pct"/>
            <w:vMerge/>
          </w:tcPr>
          <w:p w14:paraId="387F8372" w14:textId="77777777" w:rsidR="00D72856" w:rsidRPr="00F50271" w:rsidRDefault="00D7285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0EE273F9" w14:textId="77777777" w:rsidR="00D72856" w:rsidRPr="00F50271" w:rsidRDefault="00D7285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/>
            <w:shd w:val="clear" w:color="auto" w:fill="auto"/>
            <w:vAlign w:val="center"/>
          </w:tcPr>
          <w:p w14:paraId="2087DCD8" w14:textId="77777777" w:rsidR="00D72856" w:rsidRPr="00F50271" w:rsidRDefault="00D7285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7300597" w14:textId="77777777" w:rsidR="00D72856" w:rsidRPr="00F50271" w:rsidRDefault="00D72856" w:rsidP="00F77C01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28533165" w14:textId="540D60BE" w:rsidR="00D72856" w:rsidRPr="00F50271" w:rsidRDefault="00D72856" w:rsidP="00E2275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nie je v súlade s</w:t>
            </w:r>
            <w:r w:rsidR="00E22755">
              <w:rPr>
                <w:rFonts w:ascii="Arial Narrow" w:eastAsia="Times New Roman" w:hAnsi="Arial Narrow" w:cs="Arial"/>
                <w:lang w:eastAsia="sk-SK"/>
              </w:rPr>
              <w:t xml:space="preserve">o </w:t>
            </w:r>
            <w:r w:rsidR="00E5615E">
              <w:rPr>
                <w:rFonts w:ascii="Arial Narrow" w:eastAsia="Times New Roman" w:hAnsi="Arial Narrow" w:cs="Arial"/>
                <w:lang w:eastAsia="sk-SK"/>
              </w:rPr>
              <w:t xml:space="preserve">žiadnym </w:t>
            </w:r>
            <w:r w:rsidR="00E22755">
              <w:rPr>
                <w:rFonts w:ascii="Arial Narrow" w:eastAsia="Times New Roman" w:hAnsi="Arial Narrow" w:cs="Arial"/>
                <w:lang w:eastAsia="sk-SK"/>
              </w:rPr>
              <w:t>strategickým cieľom definovanom v NKIVS</w:t>
            </w:r>
            <w:r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5BC04452" w14:textId="09EBAFDA" w:rsidR="00213C02" w:rsidRPr="00F50271" w:rsidRDefault="00213C02" w:rsidP="00213C02">
      <w:pPr>
        <w:tabs>
          <w:tab w:val="left" w:pos="1620"/>
        </w:tabs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>Hodnotiteľ posudzuje najmä inform</w:t>
      </w:r>
      <w:r w:rsidR="002D3029">
        <w:rPr>
          <w:rFonts w:ascii="Arial Narrow" w:hAnsi="Arial Narrow" w:cs="Arial"/>
          <w:color w:val="000000" w:themeColor="text1"/>
        </w:rPr>
        <w:t xml:space="preserve">ácie uvedené v častiach </w:t>
      </w:r>
      <w:proofErr w:type="spellStart"/>
      <w:r w:rsidR="002D3029">
        <w:rPr>
          <w:rFonts w:ascii="Arial Narrow" w:hAnsi="Arial Narrow" w:cs="Arial"/>
          <w:color w:val="000000" w:themeColor="text1"/>
        </w:rPr>
        <w:t>ŽoNFP</w:t>
      </w:r>
      <w:proofErr w:type="spellEnd"/>
      <w:r w:rsidR="002D3029">
        <w:rPr>
          <w:rFonts w:ascii="Arial Narrow" w:hAnsi="Arial Narrow" w:cs="Arial"/>
          <w:color w:val="000000" w:themeColor="text1"/>
        </w:rPr>
        <w:t xml:space="preserve">: </w:t>
      </w:r>
      <w:r w:rsidRPr="00F50271">
        <w:rPr>
          <w:rFonts w:ascii="Arial Narrow" w:hAnsi="Arial Narrow" w:cs="Arial"/>
          <w:color w:val="000000" w:themeColor="text1"/>
        </w:rPr>
        <w:t>7. Popis projektu.</w:t>
      </w:r>
    </w:p>
    <w:p w14:paraId="153785E5" w14:textId="2B8288AC" w:rsidR="00F50388" w:rsidRDefault="00A17B4E" w:rsidP="00FC581E">
      <w:pPr>
        <w:spacing w:before="240" w:after="240" w:line="288" w:lineRule="auto"/>
        <w:jc w:val="both"/>
        <w:rPr>
          <w:rFonts w:ascii="Arial Narrow" w:eastAsia="Helvetica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Hodnotiteľ posudzuje, či obsahom projektu</w:t>
      </w:r>
      <w:r w:rsidR="00691593">
        <w:rPr>
          <w:rFonts w:ascii="Arial Narrow" w:hAnsi="Arial Narrow" w:cs="Arial"/>
          <w:color w:val="000000" w:themeColor="text1"/>
        </w:rPr>
        <w:t>/</w:t>
      </w:r>
      <w:proofErr w:type="spellStart"/>
      <w:r w:rsidR="00691593">
        <w:rPr>
          <w:rFonts w:ascii="Arial Narrow" w:hAnsi="Arial Narrow" w:cs="Arial"/>
          <w:color w:val="000000" w:themeColor="text1"/>
        </w:rPr>
        <w:t>ŽoNFP</w:t>
      </w:r>
      <w:proofErr w:type="spellEnd"/>
      <w:r>
        <w:rPr>
          <w:rFonts w:ascii="Arial Narrow" w:hAnsi="Arial Narrow" w:cs="Arial"/>
          <w:color w:val="000000" w:themeColor="text1"/>
        </w:rPr>
        <w:t xml:space="preserve"> je príspevok k niektorému zo strategických cieľov NKIVS</w:t>
      </w:r>
      <w:r w:rsidR="00691593">
        <w:rPr>
          <w:rFonts w:ascii="Arial Narrow" w:hAnsi="Arial Narrow" w:cs="Arial"/>
          <w:color w:val="000000" w:themeColor="text1"/>
        </w:rPr>
        <w:t xml:space="preserve">. </w:t>
      </w:r>
      <w:r w:rsidR="00691593" w:rsidRPr="00691593">
        <w:rPr>
          <w:rFonts w:ascii="Arial Narrow" w:hAnsi="Arial Narrow" w:cs="Arial"/>
          <w:color w:val="000000" w:themeColor="text1"/>
        </w:rPr>
        <w:t>V prípade, že projekt/</w:t>
      </w:r>
      <w:proofErr w:type="spellStart"/>
      <w:r w:rsidR="00691593" w:rsidRPr="00691593">
        <w:rPr>
          <w:rFonts w:ascii="Arial Narrow" w:hAnsi="Arial Narrow" w:cs="Arial"/>
          <w:color w:val="000000" w:themeColor="text1"/>
        </w:rPr>
        <w:t>ŽoNFP</w:t>
      </w:r>
      <w:proofErr w:type="spellEnd"/>
      <w:r w:rsidR="00691593">
        <w:rPr>
          <w:rFonts w:ascii="Arial Narrow" w:hAnsi="Arial Narrow" w:cs="Arial"/>
          <w:color w:val="000000" w:themeColor="text1"/>
        </w:rPr>
        <w:t xml:space="preserve"> </w:t>
      </w:r>
      <w:r w:rsidR="00691593" w:rsidRPr="00691593">
        <w:rPr>
          <w:rFonts w:ascii="Arial Narrow" w:hAnsi="Arial Narrow" w:cs="Arial"/>
          <w:color w:val="000000" w:themeColor="text1"/>
        </w:rPr>
        <w:t>prispieva k niektorému</w:t>
      </w:r>
      <w:r w:rsidR="00691593">
        <w:rPr>
          <w:rFonts w:ascii="Arial Narrow" w:hAnsi="Arial Narrow" w:cs="Arial"/>
          <w:b/>
          <w:color w:val="000000" w:themeColor="text1"/>
        </w:rPr>
        <w:t xml:space="preserve"> </w:t>
      </w:r>
      <w:r w:rsidR="00691593">
        <w:rPr>
          <w:rFonts w:ascii="Arial Narrow" w:hAnsi="Arial Narrow" w:cs="Arial"/>
          <w:color w:val="000000" w:themeColor="text1"/>
        </w:rPr>
        <w:t>zo strategických cieľov NKIVS</w:t>
      </w:r>
      <w:r w:rsidR="00691593" w:rsidRPr="00F50271">
        <w:rPr>
          <w:rFonts w:ascii="Arial Narrow" w:eastAsia="Helvetica" w:hAnsi="Arial Narrow" w:cs="Arial"/>
          <w:b/>
          <w:color w:val="000000" w:themeColor="text1"/>
        </w:rPr>
        <w:t xml:space="preserve">, hodnotiteľ priradí odpoveď </w:t>
      </w:r>
      <w:r w:rsidR="00691593">
        <w:rPr>
          <w:rFonts w:ascii="Arial Narrow" w:eastAsia="Helvetica" w:hAnsi="Arial Narrow" w:cs="Arial"/>
          <w:b/>
          <w:color w:val="000000" w:themeColor="text1"/>
        </w:rPr>
        <w:t>„</w:t>
      </w:r>
      <w:r w:rsidR="00691593" w:rsidRPr="00F50271">
        <w:rPr>
          <w:rFonts w:ascii="Arial Narrow" w:eastAsia="Helvetica" w:hAnsi="Arial Narrow" w:cs="Arial"/>
          <w:b/>
          <w:color w:val="000000" w:themeColor="text1"/>
        </w:rPr>
        <w:t>áno</w:t>
      </w:r>
      <w:r w:rsidR="00691593">
        <w:rPr>
          <w:rFonts w:ascii="Arial Narrow" w:eastAsia="Helvetica" w:hAnsi="Arial Narrow" w:cs="Arial"/>
          <w:b/>
          <w:color w:val="000000" w:themeColor="text1"/>
        </w:rPr>
        <w:t>“</w:t>
      </w:r>
      <w:r w:rsidR="00691593" w:rsidRPr="00F50271">
        <w:rPr>
          <w:rFonts w:ascii="Arial Narrow" w:eastAsia="Helvetica" w:hAnsi="Arial Narrow" w:cs="Arial"/>
          <w:b/>
          <w:color w:val="000000" w:themeColor="text1"/>
        </w:rPr>
        <w:t xml:space="preserve">. </w:t>
      </w:r>
      <w:r w:rsidR="00691593" w:rsidRPr="00CE4916">
        <w:rPr>
          <w:rFonts w:ascii="Arial Narrow" w:eastAsia="Helvetica" w:hAnsi="Arial Narrow" w:cs="Arial"/>
          <w:color w:val="000000" w:themeColor="text1"/>
        </w:rPr>
        <w:t>V</w:t>
      </w:r>
      <w:r w:rsidR="00213C02" w:rsidRPr="00CE4916">
        <w:rPr>
          <w:rFonts w:ascii="Arial Narrow" w:eastAsia="Helvetica" w:hAnsi="Arial Narrow" w:cs="Arial"/>
          <w:color w:val="000000" w:themeColor="text1"/>
        </w:rPr>
        <w:t> prípade, ak projekt/</w:t>
      </w:r>
      <w:proofErr w:type="spellStart"/>
      <w:r w:rsidR="00213C02" w:rsidRPr="00CE4916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213C02">
        <w:rPr>
          <w:rFonts w:ascii="Arial Narrow" w:eastAsia="Helvetica" w:hAnsi="Arial Narrow" w:cs="Arial"/>
          <w:b/>
          <w:color w:val="000000" w:themeColor="text1"/>
        </w:rPr>
        <w:t xml:space="preserve"> nie je v súlade so žiadnym strategickým cieľom NKIVS</w:t>
      </w:r>
      <w:r w:rsidR="00691593" w:rsidRPr="00F50271">
        <w:rPr>
          <w:rFonts w:ascii="Arial Narrow" w:eastAsia="Helvetica" w:hAnsi="Arial Narrow" w:cs="Arial"/>
          <w:b/>
          <w:color w:val="000000" w:themeColor="text1"/>
        </w:rPr>
        <w:t xml:space="preserve"> prirad</w:t>
      </w:r>
      <w:r w:rsidR="00691593">
        <w:rPr>
          <w:rFonts w:ascii="Arial Narrow" w:eastAsia="Helvetica" w:hAnsi="Arial Narrow" w:cs="Arial"/>
          <w:b/>
          <w:color w:val="000000" w:themeColor="text1"/>
        </w:rPr>
        <w:t>í odpoveď „</w:t>
      </w:r>
      <w:r w:rsidR="00691593" w:rsidRPr="00F50271">
        <w:rPr>
          <w:rFonts w:ascii="Arial Narrow" w:eastAsia="Helvetica" w:hAnsi="Arial Narrow" w:cs="Arial"/>
          <w:b/>
          <w:color w:val="000000" w:themeColor="text1"/>
        </w:rPr>
        <w:t>nie</w:t>
      </w:r>
      <w:r w:rsidR="00691593">
        <w:rPr>
          <w:rFonts w:ascii="Arial Narrow" w:eastAsia="Helvetica" w:hAnsi="Arial Narrow" w:cs="Arial"/>
          <w:b/>
          <w:color w:val="000000" w:themeColor="text1"/>
        </w:rPr>
        <w:t>“</w:t>
      </w:r>
      <w:r w:rsidR="00691593" w:rsidRPr="00F50271">
        <w:rPr>
          <w:rFonts w:ascii="Arial Narrow" w:eastAsia="Helvetica" w:hAnsi="Arial Narrow" w:cs="Arial"/>
          <w:b/>
          <w:color w:val="000000" w:themeColor="text1"/>
        </w:rPr>
        <w:t>.</w:t>
      </w:r>
      <w:r w:rsidR="00F50388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="00F50388" w:rsidRPr="007731B9">
        <w:rPr>
          <w:rFonts w:ascii="Arial Narrow" w:eastAsia="Helvetica" w:hAnsi="Arial Narrow" w:cs="Arial"/>
          <w:b/>
          <w:color w:val="000000" w:themeColor="text1"/>
        </w:rPr>
        <w:t>Hodnotiteľ svoju odpoveď zdôvodní</w:t>
      </w:r>
      <w:r w:rsidR="00F50388" w:rsidRPr="00F50388">
        <w:rPr>
          <w:rFonts w:ascii="Arial Narrow" w:eastAsia="Helvetica" w:hAnsi="Arial Narrow" w:cs="Arial"/>
          <w:color w:val="000000" w:themeColor="text1"/>
        </w:rPr>
        <w:t xml:space="preserve"> v hodnotiacom hárku odborného hodnotenia v časti „Komentár“ a súčasne uvedie odkaz na dokument alebo relevantnú časť (</w:t>
      </w:r>
      <w:proofErr w:type="spellStart"/>
      <w:r w:rsidR="00F50388" w:rsidRPr="00F50388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F50388" w:rsidRPr="00F50388">
        <w:rPr>
          <w:rFonts w:ascii="Arial Narrow" w:eastAsia="Helvetica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64"/>
        <w:gridCol w:w="7520"/>
        <w:gridCol w:w="1120"/>
        <w:gridCol w:w="4038"/>
      </w:tblGrid>
      <w:tr w:rsidR="002462D4" w:rsidRPr="00F23A87" w14:paraId="26596BCE" w14:textId="77777777" w:rsidTr="008B49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1C4536F1" w14:textId="77777777" w:rsidR="002462D4" w:rsidRPr="00F50271" w:rsidRDefault="002462D4" w:rsidP="008B4936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462D4" w:rsidRPr="00F23A87" w14:paraId="22B3B67E" w14:textId="77777777" w:rsidTr="002D3029">
        <w:trPr>
          <w:trHeight w:val="300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4F8996C6" w14:textId="6DD2EEFA" w:rsidR="002462D4" w:rsidRPr="002526E6" w:rsidRDefault="004C15E4" w:rsidP="008B493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3</w:t>
            </w:r>
            <w:r w:rsidR="002462D4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736" w:type="pct"/>
            <w:vMerge w:val="restart"/>
            <w:shd w:val="clear" w:color="auto" w:fill="DEEAF6" w:themeFill="accent1" w:themeFillTint="33"/>
            <w:vAlign w:val="center"/>
          </w:tcPr>
          <w:p w14:paraId="165CABF6" w14:textId="3D2E7210" w:rsidR="00F459F2" w:rsidRDefault="002462D4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Je projekt v súlade s </w:t>
            </w:r>
            <w:r w:rsidR="00FE785B" w:rsidRPr="00FE785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RIS3 2021+</w:t>
            </w:r>
          </w:p>
          <w:p w14:paraId="230B7D52" w14:textId="1C99DF86" w:rsidR="00F459F2" w:rsidRDefault="002462D4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bCs/>
                <w:color w:val="000000"/>
                <w:lang w:eastAsia="sk-SK"/>
              </w:rPr>
              <w:t>(</w:t>
            </w:r>
            <w:r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relevantné pre</w:t>
            </w:r>
            <w:r w:rsidR="00F459F2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:</w:t>
            </w:r>
          </w:p>
          <w:p w14:paraId="66D5209E" w14:textId="5620CE3A" w:rsidR="00F459F2" w:rsidRDefault="00173475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špecifický cieľ</w:t>
            </w:r>
            <w:r w:rsidR="00F459F2"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:</w:t>
            </w:r>
            <w:r w:rsidR="00F459F2" w:rsidRPr="00CE4916">
              <w:rPr>
                <w:rFonts w:ascii="Arial Narrow" w:hAnsi="Arial Narrow"/>
                <w:u w:val="single"/>
              </w:rPr>
              <w:t xml:space="preserve"> </w:t>
            </w:r>
            <w:r w:rsidR="00F459F2" w:rsidRPr="00EA04BC">
              <w:rPr>
                <w:rFonts w:ascii="Arial Narrow" w:hAnsi="Arial Narrow"/>
                <w:b/>
                <w:u w:val="single"/>
              </w:rPr>
              <w:t>RSO1.2</w:t>
            </w:r>
            <w:r w:rsidR="00F459F2"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 xml:space="preserve">, opatrenie </w:t>
            </w:r>
            <w:r w:rsidR="00F459F2" w:rsidRPr="00EA04BC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  <w:t>1.2.1A</w:t>
            </w:r>
            <w:r w:rsidR="00F459F2"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 a</w:t>
            </w:r>
            <w:r w:rsidR="00F459F2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> </w:t>
            </w:r>
          </w:p>
          <w:p w14:paraId="3D9D6605" w14:textId="439469E7" w:rsidR="002462D4" w:rsidRPr="002526E6" w:rsidRDefault="00F459F2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 xml:space="preserve">špecifický cieľ </w:t>
            </w:r>
            <w:r w:rsidR="00173475" w:rsidRPr="00EA04BC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  <w:t>RSO</w:t>
            </w:r>
            <w:r w:rsidR="002462D4" w:rsidRPr="00EA04BC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  <w:t>1.4</w:t>
            </w:r>
            <w:r w:rsidR="00B925E5" w:rsidRPr="00CE4916">
              <w:rPr>
                <w:rFonts w:ascii="Arial Narrow" w:eastAsia="Times New Roman" w:hAnsi="Arial Narrow" w:cs="Arial"/>
                <w:bCs/>
                <w:color w:val="000000"/>
                <w:u w:val="single"/>
                <w:lang w:eastAsia="sk-SK"/>
              </w:rPr>
              <w:t xml:space="preserve">, opatrenie </w:t>
            </w:r>
            <w:r w:rsidR="00B925E5" w:rsidRPr="00EA04BC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  <w:t>1.4.2</w:t>
            </w:r>
            <w:r w:rsidR="002462D4" w:rsidRPr="00CE4916">
              <w:rPr>
                <w:rFonts w:ascii="Arial Narrow" w:eastAsia="Times New Roman" w:hAnsi="Arial Narrow" w:cs="Arial"/>
                <w:bCs/>
                <w:color w:val="000000"/>
                <w:lang w:eastAsia="sk-SK"/>
              </w:rPr>
              <w:t>)</w:t>
            </w:r>
            <w:r>
              <w:rPr>
                <w:rFonts w:ascii="Arial Narrow" w:eastAsia="Times New Roman" w:hAnsi="Arial Narrow" w:cs="Arial"/>
                <w:bCs/>
                <w:color w:val="000000"/>
                <w:lang w:eastAsia="sk-SK"/>
              </w:rPr>
              <w:t>?</w:t>
            </w:r>
          </w:p>
        </w:tc>
        <w:tc>
          <w:tcPr>
            <w:tcW w:w="2445" w:type="pct"/>
            <w:shd w:val="clear" w:color="auto" w:fill="DEEAF6" w:themeFill="accent1" w:themeFillTint="33"/>
            <w:vAlign w:val="center"/>
            <w:hideMark/>
          </w:tcPr>
          <w:p w14:paraId="5A5F979F" w14:textId="77777777" w:rsidR="002462D4" w:rsidRPr="00F50271" w:rsidRDefault="002462D4" w:rsidP="008B493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64" w:type="pct"/>
            <w:shd w:val="clear" w:color="auto" w:fill="DEEAF6" w:themeFill="accent1" w:themeFillTint="33"/>
            <w:vAlign w:val="center"/>
            <w:hideMark/>
          </w:tcPr>
          <w:p w14:paraId="20488562" w14:textId="77777777" w:rsidR="002462D4" w:rsidRPr="00F50271" w:rsidRDefault="002462D4" w:rsidP="008B493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313" w:type="pct"/>
            <w:shd w:val="clear" w:color="auto" w:fill="DEEAF6" w:themeFill="accent1" w:themeFillTint="33"/>
            <w:vAlign w:val="center"/>
            <w:hideMark/>
          </w:tcPr>
          <w:p w14:paraId="1931B32E" w14:textId="77777777" w:rsidR="002462D4" w:rsidRPr="00F50271" w:rsidRDefault="002462D4" w:rsidP="008B493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4C15E4" w:rsidRPr="00F23A87" w14:paraId="0FDD8CD1" w14:textId="77777777" w:rsidTr="002D3029">
        <w:trPr>
          <w:trHeight w:val="668"/>
        </w:trPr>
        <w:tc>
          <w:tcPr>
            <w:tcW w:w="142" w:type="pct"/>
            <w:vMerge/>
          </w:tcPr>
          <w:p w14:paraId="636CBDE3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5DBD9D8E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 w:val="restart"/>
            <w:shd w:val="clear" w:color="auto" w:fill="auto"/>
            <w:vAlign w:val="center"/>
          </w:tcPr>
          <w:p w14:paraId="4E524699" w14:textId="55096F9F" w:rsidR="002462D4" w:rsidRPr="00D72856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Posudzuje sa súlad projektu s</w:t>
            </w:r>
            <w:r w:rsidR="002F1329">
              <w:rPr>
                <w:rFonts w:ascii="Arial Narrow" w:eastAsia="Times New Roman" w:hAnsi="Arial Narrow" w:cs="Arial"/>
                <w:lang w:eastAsia="sk-SK"/>
              </w:rPr>
              <w:t> RIS3</w:t>
            </w:r>
            <w:r w:rsidR="0041687D">
              <w:rPr>
                <w:rFonts w:ascii="Arial Narrow" w:eastAsia="Times New Roman" w:hAnsi="Arial Narrow" w:cs="Arial"/>
                <w:lang w:eastAsia="sk-SK"/>
              </w:rPr>
              <w:t xml:space="preserve"> 2021+</w:t>
            </w:r>
            <w:r w:rsidR="00907739">
              <w:rPr>
                <w:rStyle w:val="Odkaznapoznmkupodiarou"/>
                <w:rFonts w:ascii="Arial Narrow" w:eastAsia="Times New Roman" w:hAnsi="Arial Narrow"/>
                <w:lang w:eastAsia="sk-SK"/>
              </w:rPr>
              <w:footnoteReference w:id="7"/>
            </w:r>
            <w:r>
              <w:rPr>
                <w:rFonts w:ascii="Arial Narrow" w:eastAsia="Times New Roman" w:hAnsi="Arial Narrow" w:cs="Arial"/>
                <w:lang w:eastAsia="sk-SK"/>
              </w:rPr>
              <w:t>.</w:t>
            </w:r>
          </w:p>
          <w:p w14:paraId="456B38A5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  <w:p w14:paraId="3D68DC58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ADA03F7" w14:textId="77777777" w:rsidR="002462D4" w:rsidRPr="00F50271" w:rsidRDefault="002462D4" w:rsidP="008B493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18D71F6E" w14:textId="1C08DD2D" w:rsidR="002462D4" w:rsidRPr="00F50271" w:rsidRDefault="002462D4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je v</w:t>
            </w:r>
            <w:r w:rsidR="0065586B">
              <w:rPr>
                <w:rFonts w:ascii="Arial Narrow" w:eastAsia="Times New Roman" w:hAnsi="Arial Narrow" w:cs="Arial"/>
                <w:lang w:eastAsia="sk-SK"/>
              </w:rPr>
              <w:t> </w:t>
            </w:r>
            <w:r w:rsidRPr="00F50271">
              <w:rPr>
                <w:rFonts w:ascii="Arial Narrow" w:eastAsia="Times New Roman" w:hAnsi="Arial Narrow" w:cs="Arial"/>
                <w:lang w:eastAsia="sk-SK"/>
              </w:rPr>
              <w:t>súlade</w:t>
            </w:r>
            <w:r w:rsidR="0065586B">
              <w:rPr>
                <w:rFonts w:ascii="Arial Narrow" w:eastAsia="Times New Roman" w:hAnsi="Arial Narrow" w:cs="Arial"/>
                <w:lang w:eastAsia="sk-SK"/>
              </w:rPr>
              <w:t xml:space="preserve"> najmä</w:t>
            </w:r>
            <w:r w:rsidRPr="00F50271">
              <w:rPr>
                <w:rFonts w:ascii="Arial Narrow" w:eastAsia="Times New Roman" w:hAnsi="Arial Narrow" w:cs="Arial"/>
                <w:lang w:eastAsia="sk-SK"/>
              </w:rPr>
              <w:t xml:space="preserve"> s</w:t>
            </w:r>
            <w:r w:rsidR="00213C02">
              <w:rPr>
                <w:rFonts w:ascii="Arial Narrow" w:eastAsia="Times New Roman" w:hAnsi="Arial Narrow" w:cs="Arial"/>
                <w:lang w:eastAsia="sk-SK"/>
              </w:rPr>
              <w:t> </w:t>
            </w:r>
            <w:r w:rsidR="004C15E4">
              <w:rPr>
                <w:rFonts w:ascii="Arial Narrow" w:eastAsia="Times New Roman" w:hAnsi="Arial Narrow" w:cs="Arial"/>
                <w:lang w:eastAsia="sk-SK"/>
              </w:rPr>
              <w:t>domén</w:t>
            </w:r>
            <w:r w:rsidR="00213C02">
              <w:rPr>
                <w:rFonts w:ascii="Arial Narrow" w:eastAsia="Times New Roman" w:hAnsi="Arial Narrow" w:cs="Arial"/>
                <w:lang w:eastAsia="sk-SK"/>
              </w:rPr>
              <w:t xml:space="preserve">ou 1 </w:t>
            </w:r>
            <w:r w:rsidR="007D05DA">
              <w:rPr>
                <w:rFonts w:ascii="Arial Narrow" w:eastAsia="Times New Roman" w:hAnsi="Arial Narrow" w:cs="Arial"/>
                <w:lang w:eastAsia="sk-SK"/>
              </w:rPr>
              <w:t>a/</w:t>
            </w:r>
            <w:r w:rsidR="00213C02">
              <w:rPr>
                <w:rFonts w:ascii="Arial Narrow" w:eastAsia="Times New Roman" w:hAnsi="Arial Narrow" w:cs="Arial"/>
                <w:lang w:eastAsia="sk-SK"/>
              </w:rPr>
              <w:t>alebo 3</w:t>
            </w:r>
            <w:r w:rsidR="004C15E4">
              <w:rPr>
                <w:rFonts w:ascii="Arial Narrow" w:eastAsia="Times New Roman" w:hAnsi="Arial Narrow" w:cs="Arial"/>
                <w:lang w:eastAsia="sk-SK"/>
              </w:rPr>
              <w:t xml:space="preserve"> RIS3</w:t>
            </w:r>
            <w:r w:rsidR="0041687D">
              <w:rPr>
                <w:rFonts w:ascii="Arial Narrow" w:eastAsia="Times New Roman" w:hAnsi="Arial Narrow" w:cs="Arial"/>
                <w:lang w:eastAsia="sk-SK"/>
              </w:rPr>
              <w:t xml:space="preserve"> 2021+</w:t>
            </w:r>
            <w:r w:rsidRPr="00F50271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  <w:tr w:rsidR="002462D4" w:rsidRPr="00F23A87" w14:paraId="16266B8E" w14:textId="77777777" w:rsidTr="002D3029">
        <w:trPr>
          <w:trHeight w:val="2076"/>
        </w:trPr>
        <w:tc>
          <w:tcPr>
            <w:tcW w:w="142" w:type="pct"/>
            <w:vMerge/>
          </w:tcPr>
          <w:p w14:paraId="416FD6D6" w14:textId="77777777" w:rsidR="002462D4" w:rsidRPr="00F50271" w:rsidRDefault="002462D4" w:rsidP="008B493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7A91B052" w14:textId="77777777" w:rsidR="002462D4" w:rsidRPr="00F50271" w:rsidRDefault="002462D4" w:rsidP="008B493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/>
            <w:shd w:val="clear" w:color="auto" w:fill="auto"/>
            <w:vAlign w:val="center"/>
          </w:tcPr>
          <w:p w14:paraId="42263F29" w14:textId="77777777" w:rsidR="002462D4" w:rsidRPr="00F50271" w:rsidRDefault="002462D4" w:rsidP="008B493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051EE05" w14:textId="77777777" w:rsidR="002462D4" w:rsidRPr="00F50271" w:rsidRDefault="002462D4" w:rsidP="008B493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722525C2" w14:textId="45125306" w:rsidR="002462D4" w:rsidRPr="00F50271" w:rsidRDefault="002462D4" w:rsidP="00FE53FA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 xml:space="preserve">Projekt nie je v súlade </w:t>
            </w:r>
            <w:r w:rsidR="00B30D96">
              <w:rPr>
                <w:rFonts w:ascii="Arial Narrow" w:eastAsia="Times New Roman" w:hAnsi="Arial Narrow" w:cs="Arial"/>
                <w:lang w:eastAsia="sk-SK"/>
              </w:rPr>
              <w:t xml:space="preserve">so žiadnou </w:t>
            </w:r>
            <w:r w:rsidR="00FE53FA">
              <w:rPr>
                <w:rFonts w:ascii="Arial Narrow" w:eastAsia="Times New Roman" w:hAnsi="Arial Narrow" w:cs="Arial"/>
                <w:lang w:eastAsia="sk-SK"/>
              </w:rPr>
              <w:t>z</w:t>
            </w:r>
            <w:r w:rsidR="00B30D96">
              <w:rPr>
                <w:rFonts w:ascii="Arial Narrow" w:eastAsia="Times New Roman" w:hAnsi="Arial Narrow" w:cs="Arial"/>
                <w:lang w:eastAsia="sk-SK"/>
              </w:rPr>
              <w:t xml:space="preserve"> domén</w:t>
            </w:r>
            <w:r w:rsidR="004C15E4">
              <w:rPr>
                <w:rFonts w:ascii="Arial Narrow" w:eastAsia="Times New Roman" w:hAnsi="Arial Narrow" w:cs="Arial"/>
                <w:lang w:eastAsia="sk-SK"/>
              </w:rPr>
              <w:t xml:space="preserve"> RIS3</w:t>
            </w:r>
            <w:r w:rsidR="0041687D">
              <w:rPr>
                <w:rFonts w:ascii="Arial Narrow" w:eastAsia="Times New Roman" w:hAnsi="Arial Narrow" w:cs="Arial"/>
                <w:lang w:eastAsia="sk-SK"/>
              </w:rPr>
              <w:t xml:space="preserve"> 2021+</w:t>
            </w:r>
            <w:r w:rsidR="004C15E4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04AFC7F2" w14:textId="7009755F" w:rsidR="002D3029" w:rsidRDefault="002D3029" w:rsidP="004C15E4">
      <w:pPr>
        <w:spacing w:before="240" w:after="24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posudzuje najmä informácie uvedené v častiach 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>: 7. Popis projektu</w:t>
      </w:r>
      <w:r>
        <w:rPr>
          <w:rFonts w:ascii="Arial Narrow" w:hAnsi="Arial Narrow" w:cs="Arial"/>
          <w:color w:val="000000" w:themeColor="text1"/>
        </w:rPr>
        <w:t>.</w:t>
      </w:r>
    </w:p>
    <w:p w14:paraId="12310F6E" w14:textId="0F0E80C2" w:rsidR="004C15E4" w:rsidRDefault="004C15E4" w:rsidP="004C15E4">
      <w:pPr>
        <w:spacing w:before="240" w:after="240" w:line="288" w:lineRule="auto"/>
        <w:jc w:val="both"/>
        <w:rPr>
          <w:rFonts w:ascii="Arial Narrow" w:eastAsia="Helvetica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Hodnotiteľ posudzuje, či obsahom projektu/</w:t>
      </w:r>
      <w:proofErr w:type="spellStart"/>
      <w:r>
        <w:rPr>
          <w:rFonts w:ascii="Arial Narrow" w:hAnsi="Arial Narrow" w:cs="Arial"/>
          <w:color w:val="000000" w:themeColor="text1"/>
        </w:rPr>
        <w:t>ŽoNFP</w:t>
      </w:r>
      <w:proofErr w:type="spellEnd"/>
      <w:r>
        <w:rPr>
          <w:rFonts w:ascii="Arial Narrow" w:hAnsi="Arial Narrow" w:cs="Arial"/>
          <w:color w:val="000000" w:themeColor="text1"/>
        </w:rPr>
        <w:t xml:space="preserve"> je príspevok k niektorej z</w:t>
      </w:r>
      <w:r w:rsidR="004566D9">
        <w:rPr>
          <w:rFonts w:ascii="Arial Narrow" w:hAnsi="Arial Narrow" w:cs="Arial"/>
          <w:color w:val="000000" w:themeColor="text1"/>
        </w:rPr>
        <w:t xml:space="preserve"> vybraných</w:t>
      </w:r>
      <w:r>
        <w:rPr>
          <w:rFonts w:ascii="Arial Narrow" w:hAnsi="Arial Narrow" w:cs="Arial"/>
          <w:color w:val="000000" w:themeColor="text1"/>
        </w:rPr>
        <w:t> domén RIS3</w:t>
      </w:r>
      <w:r w:rsidR="0041687D">
        <w:rPr>
          <w:rFonts w:ascii="Arial Narrow" w:hAnsi="Arial Narrow" w:cs="Arial"/>
          <w:color w:val="000000" w:themeColor="text1"/>
        </w:rPr>
        <w:t xml:space="preserve"> 2021+</w:t>
      </w:r>
      <w:r>
        <w:rPr>
          <w:rFonts w:ascii="Arial Narrow" w:hAnsi="Arial Narrow" w:cs="Arial"/>
          <w:color w:val="000000" w:themeColor="text1"/>
        </w:rPr>
        <w:t xml:space="preserve">. </w:t>
      </w:r>
      <w:r w:rsidRPr="00691593">
        <w:rPr>
          <w:rFonts w:ascii="Arial Narrow" w:hAnsi="Arial Narrow" w:cs="Arial"/>
          <w:color w:val="000000" w:themeColor="text1"/>
        </w:rPr>
        <w:t>V prípade, že projekt/</w:t>
      </w:r>
      <w:proofErr w:type="spellStart"/>
      <w:r w:rsidRPr="00691593">
        <w:rPr>
          <w:rFonts w:ascii="Arial Narrow" w:hAnsi="Arial Narrow" w:cs="Arial"/>
          <w:color w:val="000000" w:themeColor="text1"/>
        </w:rPr>
        <w:t>ŽoNFP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 w:rsidRPr="00691593">
        <w:rPr>
          <w:rFonts w:ascii="Arial Narrow" w:hAnsi="Arial Narrow" w:cs="Arial"/>
          <w:color w:val="000000" w:themeColor="text1"/>
        </w:rPr>
        <w:t>prispieva</w:t>
      </w:r>
      <w:r w:rsidR="0065586B">
        <w:rPr>
          <w:rFonts w:ascii="Arial Narrow" w:hAnsi="Arial Narrow" w:cs="Arial"/>
          <w:color w:val="000000" w:themeColor="text1"/>
        </w:rPr>
        <w:t xml:space="preserve"> najmä</w:t>
      </w:r>
      <w:r w:rsidRPr="00691593">
        <w:rPr>
          <w:rFonts w:ascii="Arial Narrow" w:hAnsi="Arial Narrow" w:cs="Arial"/>
          <w:color w:val="000000" w:themeColor="text1"/>
        </w:rPr>
        <w:t xml:space="preserve"> k</w:t>
      </w:r>
      <w:r w:rsidR="002D3029">
        <w:rPr>
          <w:rFonts w:ascii="Arial Narrow" w:hAnsi="Arial Narrow" w:cs="Arial"/>
          <w:color w:val="000000" w:themeColor="text1"/>
        </w:rPr>
        <w:t> </w:t>
      </w:r>
      <w:r>
        <w:rPr>
          <w:rFonts w:ascii="Arial Narrow" w:hAnsi="Arial Narrow" w:cs="Arial"/>
          <w:color w:val="000000" w:themeColor="text1"/>
        </w:rPr>
        <w:t>domén</w:t>
      </w:r>
      <w:r w:rsidR="002D3029">
        <w:rPr>
          <w:rFonts w:ascii="Arial Narrow" w:hAnsi="Arial Narrow" w:cs="Arial"/>
          <w:color w:val="000000" w:themeColor="text1"/>
        </w:rPr>
        <w:t xml:space="preserve">e 1 </w:t>
      </w:r>
      <w:r w:rsidR="007D05DA">
        <w:rPr>
          <w:rFonts w:ascii="Arial Narrow" w:hAnsi="Arial Narrow" w:cs="Arial"/>
          <w:color w:val="000000" w:themeColor="text1"/>
        </w:rPr>
        <w:t>a/</w:t>
      </w:r>
      <w:r w:rsidR="002D3029">
        <w:rPr>
          <w:rFonts w:ascii="Arial Narrow" w:hAnsi="Arial Narrow" w:cs="Arial"/>
          <w:color w:val="000000" w:themeColor="text1"/>
        </w:rPr>
        <w:t>alebo 3</w:t>
      </w:r>
      <w:r>
        <w:rPr>
          <w:rFonts w:ascii="Arial Narrow" w:hAnsi="Arial Narrow" w:cs="Arial"/>
          <w:color w:val="000000" w:themeColor="text1"/>
        </w:rPr>
        <w:t xml:space="preserve"> RIS3</w:t>
      </w:r>
      <w:r w:rsidR="0041687D">
        <w:rPr>
          <w:rFonts w:ascii="Arial Narrow" w:hAnsi="Arial Narrow" w:cs="Arial"/>
          <w:color w:val="000000" w:themeColor="text1"/>
        </w:rPr>
        <w:t xml:space="preserve"> 2021+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, hodnotiteľ priradí odpoveď </w:t>
      </w:r>
      <w:r>
        <w:rPr>
          <w:rFonts w:ascii="Arial Narrow" w:eastAsia="Helvetica" w:hAnsi="Arial Narrow" w:cs="Arial"/>
          <w:b/>
          <w:color w:val="000000" w:themeColor="text1"/>
        </w:rPr>
        <w:t>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áno</w:t>
      </w:r>
      <w:r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. </w:t>
      </w:r>
      <w:r w:rsidRPr="00CE4916">
        <w:rPr>
          <w:rFonts w:ascii="Arial Narrow" w:eastAsia="Helvetica" w:hAnsi="Arial Narrow" w:cs="Arial"/>
          <w:color w:val="000000" w:themeColor="text1"/>
        </w:rPr>
        <w:t>V</w:t>
      </w:r>
      <w:r w:rsidR="002D3029">
        <w:rPr>
          <w:rFonts w:ascii="Arial Narrow" w:eastAsia="Helvetica" w:hAnsi="Arial Narrow" w:cs="Arial"/>
          <w:color w:val="000000" w:themeColor="text1"/>
        </w:rPr>
        <w:t> </w:t>
      </w:r>
      <w:r w:rsidRPr="00CE4916">
        <w:rPr>
          <w:rFonts w:ascii="Arial Narrow" w:eastAsia="Helvetica" w:hAnsi="Arial Narrow" w:cs="Arial"/>
          <w:color w:val="000000" w:themeColor="text1"/>
        </w:rPr>
        <w:t>prípade</w:t>
      </w:r>
      <w:r w:rsidR="002D3029">
        <w:rPr>
          <w:rFonts w:ascii="Arial Narrow" w:eastAsia="Helvetica" w:hAnsi="Arial Narrow" w:cs="Arial"/>
          <w:color w:val="000000" w:themeColor="text1"/>
        </w:rPr>
        <w:t>,</w:t>
      </w:r>
      <w:r w:rsidRPr="00CE4916">
        <w:rPr>
          <w:rFonts w:ascii="Arial Narrow" w:eastAsia="Helvetica" w:hAnsi="Arial Narrow" w:cs="Arial"/>
          <w:color w:val="000000" w:themeColor="text1"/>
        </w:rPr>
        <w:t xml:space="preserve"> </w:t>
      </w:r>
      <w:r w:rsidR="003C4A08" w:rsidRPr="00CE4916">
        <w:rPr>
          <w:rFonts w:ascii="Arial Narrow" w:eastAsia="Helvetica" w:hAnsi="Arial Narrow" w:cs="Arial"/>
          <w:color w:val="000000" w:themeColor="text1"/>
        </w:rPr>
        <w:t>ak</w:t>
      </w:r>
      <w:r w:rsidR="003C4A08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="003C4A08" w:rsidRPr="00691593">
        <w:rPr>
          <w:rFonts w:ascii="Arial Narrow" w:hAnsi="Arial Narrow" w:cs="Arial"/>
          <w:color w:val="000000" w:themeColor="text1"/>
        </w:rPr>
        <w:t>projekt/</w:t>
      </w:r>
      <w:proofErr w:type="spellStart"/>
      <w:r w:rsidR="003C4A08" w:rsidRPr="00691593">
        <w:rPr>
          <w:rFonts w:ascii="Arial Narrow" w:hAnsi="Arial Narrow" w:cs="Arial"/>
          <w:color w:val="000000" w:themeColor="text1"/>
        </w:rPr>
        <w:t>ŽoNFP</w:t>
      </w:r>
      <w:proofErr w:type="spellEnd"/>
      <w:r w:rsidR="003C4A08">
        <w:rPr>
          <w:rFonts w:ascii="Arial Narrow" w:hAnsi="Arial Narrow" w:cs="Arial"/>
          <w:color w:val="000000" w:themeColor="text1"/>
        </w:rPr>
        <w:t xml:space="preserve"> nie je v súlade </w:t>
      </w:r>
      <w:r w:rsidR="00B30D96">
        <w:rPr>
          <w:rFonts w:ascii="Arial Narrow" w:hAnsi="Arial Narrow" w:cs="Arial"/>
          <w:color w:val="000000" w:themeColor="text1"/>
        </w:rPr>
        <w:t xml:space="preserve">so žiadnou </w:t>
      </w:r>
      <w:r w:rsidR="00FE53FA">
        <w:rPr>
          <w:rFonts w:ascii="Arial Narrow" w:hAnsi="Arial Narrow" w:cs="Arial"/>
          <w:color w:val="000000" w:themeColor="text1"/>
        </w:rPr>
        <w:t>z</w:t>
      </w:r>
      <w:bookmarkStart w:id="0" w:name="_GoBack"/>
      <w:bookmarkEnd w:id="0"/>
      <w:r w:rsidR="00B30D96">
        <w:rPr>
          <w:rFonts w:ascii="Arial Narrow" w:hAnsi="Arial Narrow" w:cs="Arial"/>
          <w:color w:val="000000" w:themeColor="text1"/>
        </w:rPr>
        <w:t xml:space="preserve"> domén</w:t>
      </w:r>
      <w:r w:rsidR="003C4A08">
        <w:rPr>
          <w:rFonts w:ascii="Arial Narrow" w:hAnsi="Arial Narrow" w:cs="Arial"/>
          <w:color w:val="000000" w:themeColor="text1"/>
        </w:rPr>
        <w:t xml:space="preserve"> RIS3 2021+</w:t>
      </w:r>
      <w:r w:rsidR="002D3029">
        <w:rPr>
          <w:rFonts w:ascii="Arial Narrow" w:hAnsi="Arial Narrow" w:cs="Arial"/>
          <w:color w:val="000000" w:themeColor="text1"/>
        </w:rPr>
        <w:t xml:space="preserve">, hodnotiteľ </w:t>
      </w:r>
      <w:r w:rsidRPr="00F50271">
        <w:rPr>
          <w:rFonts w:ascii="Arial Narrow" w:eastAsia="Helvetica" w:hAnsi="Arial Narrow" w:cs="Arial"/>
          <w:b/>
          <w:color w:val="000000" w:themeColor="text1"/>
        </w:rPr>
        <w:t>prirad</w:t>
      </w:r>
      <w:r>
        <w:rPr>
          <w:rFonts w:ascii="Arial Narrow" w:eastAsia="Helvetica" w:hAnsi="Arial Narrow" w:cs="Arial"/>
          <w:b/>
          <w:color w:val="000000" w:themeColor="text1"/>
        </w:rPr>
        <w:t>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nie</w:t>
      </w:r>
      <w:r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</w:t>
      </w:r>
      <w:r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Pr="007731B9">
        <w:rPr>
          <w:rFonts w:ascii="Arial Narrow" w:eastAsia="Helvetica" w:hAnsi="Arial Narrow" w:cs="Arial"/>
          <w:b/>
          <w:color w:val="000000" w:themeColor="text1"/>
        </w:rPr>
        <w:t>Hodnotiteľ svoju odpoveď zdôvodní</w:t>
      </w:r>
      <w:r w:rsidRPr="00F50388">
        <w:rPr>
          <w:rFonts w:ascii="Arial Narrow" w:eastAsia="Helvetica" w:hAnsi="Arial Narrow" w:cs="Arial"/>
          <w:color w:val="000000" w:themeColor="text1"/>
        </w:rPr>
        <w:t xml:space="preserve"> v hodnotiacom hárku odborného hodnotenia v časti „Komentár“ a súčasne uvedie odkaz na dokument alebo relevantnú časť (</w:t>
      </w:r>
      <w:proofErr w:type="spellStart"/>
      <w:r w:rsidRPr="00F50388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Pr="00F50388">
        <w:rPr>
          <w:rFonts w:ascii="Arial Narrow" w:eastAsia="Helvetica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p w14:paraId="6195FE1D" w14:textId="56DE2D68" w:rsidR="00EA04BC" w:rsidRDefault="00EA04BC" w:rsidP="004C15E4">
      <w:pPr>
        <w:spacing w:before="240" w:after="240" w:line="288" w:lineRule="auto"/>
        <w:jc w:val="both"/>
        <w:rPr>
          <w:rFonts w:ascii="Arial Narrow" w:eastAsia="Helvetica" w:hAnsi="Arial Narrow"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48"/>
        <w:gridCol w:w="7744"/>
        <w:gridCol w:w="1018"/>
        <w:gridCol w:w="3931"/>
      </w:tblGrid>
      <w:tr w:rsidR="002526E6" w:rsidRPr="00F23A87" w14:paraId="536C1AE6" w14:textId="77777777" w:rsidTr="002526E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5875246" w14:textId="59958579" w:rsidR="002526E6" w:rsidRPr="00F50271" w:rsidRDefault="002526E6" w:rsidP="00504909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526E6" w:rsidRPr="00F23A87" w14:paraId="4CB6B8AA" w14:textId="77777777" w:rsidTr="00D72856">
        <w:trPr>
          <w:trHeight w:val="300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696C3742" w14:textId="6A09302B" w:rsidR="002526E6" w:rsidRPr="00F50271" w:rsidRDefault="004C15E4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4</w:t>
            </w:r>
            <w:r w:rsidR="002526E6"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731" w:type="pct"/>
            <w:vMerge w:val="restart"/>
            <w:shd w:val="clear" w:color="auto" w:fill="DEEAF6" w:themeFill="accent1" w:themeFillTint="33"/>
            <w:vAlign w:val="center"/>
          </w:tcPr>
          <w:p w14:paraId="2416F8F2" w14:textId="10580C5B" w:rsidR="002526E6" w:rsidRPr="00F50271" w:rsidRDefault="002526E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504909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Vhodnosť navrhovaných aktivít z vecného a časového hľadiska</w:t>
            </w:r>
          </w:p>
        </w:tc>
        <w:tc>
          <w:tcPr>
            <w:tcW w:w="2518" w:type="pct"/>
            <w:shd w:val="clear" w:color="auto" w:fill="DEEAF6" w:themeFill="accent1" w:themeFillTint="33"/>
            <w:vAlign w:val="center"/>
            <w:hideMark/>
          </w:tcPr>
          <w:p w14:paraId="7550D0BA" w14:textId="4E40B971" w:rsidR="002526E6" w:rsidRPr="00F50271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38647458" w14:textId="77777777" w:rsidR="002526E6" w:rsidRPr="00F50271" w:rsidRDefault="002526E6" w:rsidP="002526E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78" w:type="pct"/>
            <w:shd w:val="clear" w:color="auto" w:fill="DEEAF6" w:themeFill="accent1" w:themeFillTint="33"/>
            <w:vAlign w:val="center"/>
            <w:hideMark/>
          </w:tcPr>
          <w:p w14:paraId="00D028B8" w14:textId="77777777" w:rsidR="002526E6" w:rsidRPr="00F50271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F23A87" w14:paraId="5A6AB072" w14:textId="77777777" w:rsidTr="00D72856">
        <w:trPr>
          <w:trHeight w:val="545"/>
        </w:trPr>
        <w:tc>
          <w:tcPr>
            <w:tcW w:w="142" w:type="pct"/>
            <w:vMerge/>
          </w:tcPr>
          <w:p w14:paraId="488A7853" w14:textId="77777777" w:rsidR="002526E6" w:rsidRPr="00504909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1" w:type="pct"/>
            <w:vMerge/>
          </w:tcPr>
          <w:p w14:paraId="1847EC1C" w14:textId="7CEA6DFD" w:rsidR="002526E6" w:rsidRPr="00504909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18" w:type="pct"/>
            <w:vMerge w:val="restart"/>
            <w:shd w:val="clear" w:color="auto" w:fill="auto"/>
            <w:vAlign w:val="center"/>
          </w:tcPr>
          <w:p w14:paraId="3D9D9912" w14:textId="3A0469A5" w:rsidR="002526E6" w:rsidRPr="00F50271" w:rsidRDefault="002526E6" w:rsidP="0059503F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504909">
              <w:rPr>
                <w:rFonts w:ascii="Arial Narrow" w:eastAsia="Times New Roman" w:hAnsi="Arial Narrow" w:cs="Arial"/>
                <w:lang w:eastAsia="sk-SK"/>
              </w:rPr>
              <w:t xml:space="preserve">Posudzuje sa kvalitatívna úroveň a využiteľnosť výstupov projektu, účinnosť a logická previazanosť aktivít projektu, 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>chronologická nadväznosť aktivít projektu,</w:t>
            </w:r>
            <w:r w:rsidR="00907739" w:rsidRPr="00CE4916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62463B" w:rsidRPr="00CE4916">
              <w:rPr>
                <w:rFonts w:ascii="Arial Narrow" w:eastAsia="Times New Roman" w:hAnsi="Arial Narrow" w:cs="Arial"/>
                <w:lang w:eastAsia="sk-SK"/>
              </w:rPr>
              <w:t>odborná</w:t>
            </w:r>
            <w:r w:rsidR="00907739" w:rsidRPr="00CE4916">
              <w:rPr>
                <w:rFonts w:ascii="Arial Narrow" w:eastAsia="Times New Roman" w:hAnsi="Arial Narrow" w:cs="Arial"/>
                <w:lang w:eastAsia="sk-SK"/>
              </w:rPr>
              <w:t xml:space="preserve"> kapacita implementačného tímu projektu,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 xml:space="preserve"> vhodnosť a reálnosť dĺžky trvania jednotlivých</w:t>
            </w:r>
            <w:r w:rsidRPr="00504909">
              <w:rPr>
                <w:rFonts w:ascii="Arial Narrow" w:eastAsia="Times New Roman" w:hAnsi="Arial Narrow" w:cs="Arial"/>
                <w:lang w:eastAsia="sk-SK"/>
              </w:rPr>
              <w:t xml:space="preserve"> aktivít, súlad časového plánu s ďalšou súvisiacou dokumentáciou</w:t>
            </w:r>
            <w:r w:rsidR="005F5FAF">
              <w:rPr>
                <w:rFonts w:ascii="Arial Narrow" w:eastAsia="Times New Roman" w:hAnsi="Arial Narrow" w:cs="Arial"/>
                <w:lang w:eastAsia="sk-SK"/>
              </w:rPr>
              <w:t xml:space="preserve"> (napr. prílohy </w:t>
            </w:r>
            <w:proofErr w:type="spellStart"/>
            <w:r w:rsidR="005F5FAF">
              <w:rPr>
                <w:rFonts w:ascii="Arial Narrow" w:eastAsia="Times New Roman" w:hAnsi="Arial Narrow" w:cs="Arial"/>
                <w:lang w:eastAsia="sk-SK"/>
              </w:rPr>
              <w:t>ŽoNFP</w:t>
            </w:r>
            <w:proofErr w:type="spellEnd"/>
            <w:r w:rsidR="005F5FAF">
              <w:rPr>
                <w:rFonts w:ascii="Arial Narrow" w:eastAsia="Times New Roman" w:hAnsi="Arial Narrow" w:cs="Arial"/>
                <w:lang w:eastAsia="sk-SK"/>
              </w:rPr>
              <w:t>)</w:t>
            </w:r>
            <w:r w:rsidR="004566D9">
              <w:rPr>
                <w:rFonts w:ascii="Arial Narrow" w:eastAsia="Times New Roman" w:hAnsi="Arial Narrow" w:cs="Arial"/>
                <w:lang w:eastAsia="sk-SK"/>
              </w:rPr>
              <w:t xml:space="preserve"> vrátane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 xml:space="preserve">reálnosti a primeranosti nastavenia hodnôt 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 xml:space="preserve">merateľných ukazovateľov 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 xml:space="preserve">voči 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>výšk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>e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 xml:space="preserve"> žiadaného NFP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 xml:space="preserve"> a rozsahu </w:t>
            </w:r>
            <w:r w:rsidR="0059503F">
              <w:rPr>
                <w:rFonts w:ascii="Arial Narrow" w:eastAsia="Times New Roman" w:hAnsi="Arial Narrow" w:cs="Arial"/>
                <w:lang w:eastAsia="sk-SK"/>
              </w:rPr>
              <w:t>aktivít projektu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2062E1D" w14:textId="77777777" w:rsidR="002526E6" w:rsidRPr="00F50271" w:rsidRDefault="002526E6" w:rsidP="002526E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222401ED" w14:textId="5BF86DAD" w:rsidR="002526E6" w:rsidRPr="00504909" w:rsidRDefault="002526E6" w:rsidP="00D21F1A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504909">
              <w:rPr>
                <w:rFonts w:ascii="Arial Narrow" w:eastAsia="Helvetica" w:hAnsi="Arial Narrow" w:cs="Arial"/>
                <w:color w:val="000000" w:themeColor="text1"/>
              </w:rPr>
              <w:t xml:space="preserve">Navrhovaný spôsob realizácie </w:t>
            </w:r>
            <w:r w:rsidR="001F40A4">
              <w:rPr>
                <w:rFonts w:ascii="Arial Narrow" w:eastAsia="Helvetica" w:hAnsi="Arial Narrow" w:cs="Arial"/>
                <w:color w:val="000000" w:themeColor="text1"/>
              </w:rPr>
              <w:t xml:space="preserve">všetkých </w:t>
            </w:r>
            <w:r w:rsidRPr="00504909">
              <w:rPr>
                <w:rFonts w:ascii="Arial Narrow" w:eastAsia="Helvetica" w:hAnsi="Arial Narrow" w:cs="Arial"/>
                <w:color w:val="000000" w:themeColor="text1"/>
              </w:rPr>
              <w:t xml:space="preserve">aktivít umožňuje dosiahnutie výstupov projektu v navrhovanom rozsahu, aktivity projektu majú logickú vzájomnú súvislosť, </w:t>
            </w:r>
            <w:r w:rsidR="00756D53">
              <w:rPr>
                <w:rFonts w:ascii="Arial Narrow" w:eastAsia="Helvetica" w:hAnsi="Arial Narrow" w:cs="Arial"/>
                <w:color w:val="000000" w:themeColor="text1"/>
              </w:rPr>
              <w:t xml:space="preserve">žiadateľ má dostatočnú </w:t>
            </w:r>
            <w:r w:rsidR="00D21F1A">
              <w:rPr>
                <w:rFonts w:ascii="Arial Narrow" w:eastAsia="Helvetica" w:hAnsi="Arial Narrow" w:cs="Arial"/>
                <w:color w:val="000000" w:themeColor="text1"/>
              </w:rPr>
              <w:t>odbornú</w:t>
            </w:r>
            <w:r w:rsidR="00756D53">
              <w:rPr>
                <w:rFonts w:ascii="Arial Narrow" w:eastAsia="Helvetica" w:hAnsi="Arial Narrow" w:cs="Arial"/>
                <w:color w:val="000000" w:themeColor="text1"/>
              </w:rPr>
              <w:t xml:space="preserve"> kapacitu implementačného tímu projektu, </w:t>
            </w:r>
            <w:r w:rsidRPr="00504909">
              <w:rPr>
                <w:rFonts w:ascii="Arial Narrow" w:eastAsia="Helvetica" w:hAnsi="Arial Narrow" w:cs="Arial"/>
                <w:color w:val="000000" w:themeColor="text1"/>
              </w:rPr>
              <w:t>časové lehoty realizácie aktivít sú reálne a sú v súlade so súvisiacou dokumentáciou</w:t>
            </w:r>
            <w:r w:rsidR="002D3029">
              <w:rPr>
                <w:rFonts w:ascii="Arial Narrow" w:eastAsia="Helvetica" w:hAnsi="Arial Narrow" w:cs="Arial"/>
                <w:color w:val="000000" w:themeColor="text1"/>
              </w:rPr>
              <w:t xml:space="preserve"> (napr. prílohy </w:t>
            </w:r>
            <w:proofErr w:type="spellStart"/>
            <w:r w:rsidR="00962204">
              <w:rPr>
                <w:rFonts w:ascii="Arial Narrow" w:eastAsia="Helvetica" w:hAnsi="Arial Narrow" w:cs="Arial"/>
                <w:color w:val="000000" w:themeColor="text1"/>
              </w:rPr>
              <w:t>Ž</w:t>
            </w:r>
            <w:r w:rsidR="002D3029">
              <w:rPr>
                <w:rFonts w:ascii="Arial Narrow" w:eastAsia="Helvetica" w:hAnsi="Arial Narrow" w:cs="Arial"/>
                <w:color w:val="000000" w:themeColor="text1"/>
              </w:rPr>
              <w:t>oNFP</w:t>
            </w:r>
            <w:proofErr w:type="spellEnd"/>
            <w:r w:rsidR="002D3029">
              <w:rPr>
                <w:rFonts w:ascii="Arial Narrow" w:eastAsia="Helvetica" w:hAnsi="Arial Narrow" w:cs="Arial"/>
                <w:color w:val="000000" w:themeColor="text1"/>
              </w:rPr>
              <w:t>)</w:t>
            </w:r>
            <w:r w:rsidR="0059503F">
              <w:rPr>
                <w:rFonts w:ascii="Arial Narrow" w:eastAsia="Helvetica" w:hAnsi="Arial Narrow" w:cs="Arial"/>
                <w:color w:val="000000" w:themeColor="text1"/>
              </w:rPr>
              <w:t>, hodnoty merateľných ukazovatele sú reálne a primerané voči výške žiadaného NFP a rozsahu aktivít.</w:t>
            </w:r>
          </w:p>
        </w:tc>
      </w:tr>
      <w:tr w:rsidR="002526E6" w:rsidRPr="00F23A87" w14:paraId="18B7B4FB" w14:textId="77777777" w:rsidTr="00D72856">
        <w:trPr>
          <w:trHeight w:val="555"/>
        </w:trPr>
        <w:tc>
          <w:tcPr>
            <w:tcW w:w="142" w:type="pct"/>
            <w:vMerge/>
          </w:tcPr>
          <w:p w14:paraId="7E7F83A6" w14:textId="77777777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1" w:type="pct"/>
            <w:vMerge/>
          </w:tcPr>
          <w:p w14:paraId="3048CB7C" w14:textId="60322342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18" w:type="pct"/>
            <w:vMerge/>
            <w:shd w:val="clear" w:color="auto" w:fill="auto"/>
            <w:vAlign w:val="center"/>
          </w:tcPr>
          <w:p w14:paraId="49FFECF7" w14:textId="1A39A3AC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A329A9E" w14:textId="77777777" w:rsidR="002526E6" w:rsidRPr="00F50271" w:rsidRDefault="002526E6" w:rsidP="002526E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7B08703C" w14:textId="1D3E7D27" w:rsidR="0059503F" w:rsidRDefault="002526E6" w:rsidP="0059503F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264DCC">
              <w:rPr>
                <w:rFonts w:ascii="Arial Narrow" w:eastAsia="Times New Roman" w:hAnsi="Arial Narrow" w:cs="Arial"/>
                <w:lang w:eastAsia="sk-SK"/>
              </w:rPr>
              <w:t xml:space="preserve">Navrhovaný spôsob realizácie aktivít vykazuje </w:t>
            </w:r>
            <w:r w:rsidR="0046662C" w:rsidRPr="00CE4916">
              <w:rPr>
                <w:rFonts w:ascii="Arial Narrow" w:eastAsia="Times New Roman" w:hAnsi="Arial Narrow" w:cs="Arial"/>
                <w:b/>
                <w:lang w:eastAsia="sk-SK"/>
              </w:rPr>
              <w:t>aspoň jeden</w:t>
            </w:r>
            <w:r w:rsidR="0046662C">
              <w:rPr>
                <w:rFonts w:ascii="Arial Narrow" w:eastAsia="Times New Roman" w:hAnsi="Arial Narrow" w:cs="Arial"/>
                <w:b/>
                <w:lang w:eastAsia="sk-SK"/>
              </w:rPr>
              <w:t xml:space="preserve"> z </w:t>
            </w:r>
            <w:r w:rsidRPr="00EE694F">
              <w:rPr>
                <w:rFonts w:ascii="Arial Narrow" w:eastAsia="Times New Roman" w:hAnsi="Arial Narrow" w:cs="Arial"/>
                <w:b/>
                <w:lang w:eastAsia="sk-SK"/>
              </w:rPr>
              <w:t>nasledovných nedostatkov</w:t>
            </w:r>
            <w:r w:rsidR="0059503F">
              <w:rPr>
                <w:rFonts w:ascii="Arial Narrow" w:eastAsia="Times New Roman" w:hAnsi="Arial Narrow" w:cs="Arial"/>
                <w:lang w:eastAsia="sk-SK"/>
              </w:rPr>
              <w:t>, ktoré môžu mať vplyv na dodržanie žiadateľom stanovenej dĺžky realizácie projektu/ohrozenie dosiahnutia cieľa a výsledkov projektu</w:t>
            </w:r>
            <w:r w:rsidRPr="00264DCC">
              <w:rPr>
                <w:rFonts w:ascii="Arial Narrow" w:eastAsia="Times New Roman" w:hAnsi="Arial Narrow" w:cs="Arial"/>
                <w:lang w:eastAsia="sk-SK"/>
              </w:rPr>
              <w:t xml:space="preserve">: </w:t>
            </w:r>
          </w:p>
          <w:p w14:paraId="799D7EAB" w14:textId="77777777" w:rsidR="0059503F" w:rsidRPr="00EE694F" w:rsidRDefault="002526E6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neumožňuje dosiahnutie výstupov projektu v navrhovanom rozsahu, </w:t>
            </w:r>
          </w:p>
          <w:p w14:paraId="56CED654" w14:textId="77777777" w:rsidR="0059503F" w:rsidRPr="00EE694F" w:rsidRDefault="002526E6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aktivity projektu nie sú v plnej miere logicky previazané, </w:t>
            </w:r>
          </w:p>
          <w:p w14:paraId="0CB8618C" w14:textId="0153EFDA" w:rsidR="0059503F" w:rsidRPr="007D05DA" w:rsidRDefault="002526E6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časové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lehoty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realizácie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aktivít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nie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sú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reálne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,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nie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sú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chronologicky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usporiadané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, </w:t>
            </w:r>
            <w:r w:rsidRPr="007D05DA">
              <w:rPr>
                <w:rFonts w:ascii="Arial Narrow" w:eastAsia="Times New Roman" w:hAnsi="Arial Narrow" w:cs="Arial"/>
                <w:lang w:val="sk-SK" w:eastAsia="sk-SK"/>
              </w:rPr>
              <w:t>nie sú v súlade so súvisiacou dokumentáciou</w:t>
            </w:r>
            <w:r w:rsidR="002D3029">
              <w:rPr>
                <w:rFonts w:ascii="Arial Narrow" w:eastAsia="Times New Roman" w:hAnsi="Arial Narrow" w:cs="Arial"/>
                <w:lang w:val="sk-SK" w:eastAsia="sk-SK"/>
              </w:rPr>
              <w:t xml:space="preserve"> (napr. prílohy </w:t>
            </w:r>
            <w:proofErr w:type="spellStart"/>
            <w:r w:rsidR="002D3029">
              <w:rPr>
                <w:rFonts w:ascii="Arial Narrow" w:eastAsia="Times New Roman" w:hAnsi="Arial Narrow" w:cs="Arial"/>
                <w:lang w:val="sk-SK" w:eastAsia="sk-SK"/>
              </w:rPr>
              <w:t>ŽoNFP</w:t>
            </w:r>
            <w:proofErr w:type="spellEnd"/>
            <w:r w:rsidR="002D3029">
              <w:rPr>
                <w:rFonts w:ascii="Arial Narrow" w:eastAsia="Times New Roman" w:hAnsi="Arial Narrow" w:cs="Arial"/>
                <w:lang w:val="sk-SK" w:eastAsia="sk-SK"/>
              </w:rPr>
              <w:t>)</w:t>
            </w:r>
            <w:r w:rsidR="0059503F" w:rsidRPr="007D05DA">
              <w:rPr>
                <w:rFonts w:ascii="Arial Narrow" w:eastAsia="Times New Roman" w:hAnsi="Arial Narrow" w:cs="Arial"/>
                <w:lang w:val="sk-SK" w:eastAsia="sk-SK"/>
              </w:rPr>
              <w:t>,</w:t>
            </w:r>
          </w:p>
          <w:p w14:paraId="38C88BFA" w14:textId="77777777" w:rsidR="00756D53" w:rsidRPr="00CE4916" w:rsidRDefault="0059503F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hodnoty merateľných ukazovateľov nie sú </w:t>
            </w:r>
            <w:r w:rsidR="00EE694F">
              <w:rPr>
                <w:rFonts w:ascii="Arial Narrow" w:eastAsia="Times New Roman" w:hAnsi="Arial Narrow" w:cs="Arial"/>
                <w:lang w:val="sk-SK" w:eastAsia="sk-SK"/>
              </w:rPr>
              <w:t xml:space="preserve">vecne a časovo </w:t>
            </w: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>reálne a primerané voči výške žiadaného N</w:t>
            </w:r>
            <w:r>
              <w:rPr>
                <w:rFonts w:ascii="Arial Narrow" w:eastAsia="Times New Roman" w:hAnsi="Arial Narrow" w:cs="Arial"/>
                <w:lang w:val="sk-SK" w:eastAsia="sk-SK"/>
              </w:rPr>
              <w:t>F</w:t>
            </w: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P a rozsahu </w:t>
            </w:r>
            <w:r w:rsidRPr="00CE4916">
              <w:rPr>
                <w:rFonts w:ascii="Arial Narrow" w:eastAsia="Times New Roman" w:hAnsi="Arial Narrow" w:cs="Arial"/>
                <w:lang w:val="sk-SK" w:eastAsia="sk-SK"/>
              </w:rPr>
              <w:t>aktivít</w:t>
            </w:r>
          </w:p>
          <w:p w14:paraId="026285E8" w14:textId="713FD2A7" w:rsidR="002526E6" w:rsidRPr="00EE694F" w:rsidRDefault="00756D53" w:rsidP="0062463B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val="sk-SK" w:eastAsia="sk-SK"/>
              </w:rPr>
              <w:lastRenderedPageBreak/>
              <w:t xml:space="preserve">nepreukázanie </w:t>
            </w:r>
            <w:r w:rsidR="0062463B" w:rsidRPr="00CE4916">
              <w:rPr>
                <w:rFonts w:ascii="Arial Narrow" w:eastAsia="Times New Roman" w:hAnsi="Arial Narrow" w:cs="Arial"/>
                <w:lang w:val="sk-SK" w:eastAsia="sk-SK"/>
              </w:rPr>
              <w:t xml:space="preserve"> odbornej</w:t>
            </w:r>
            <w:r w:rsidRPr="00CE4916">
              <w:rPr>
                <w:rFonts w:ascii="Arial Narrow" w:eastAsia="Times New Roman" w:hAnsi="Arial Narrow" w:cs="Arial"/>
                <w:lang w:val="sk-SK" w:eastAsia="sk-SK"/>
              </w:rPr>
              <w:t xml:space="preserve"> kapacity implementačného tímu</w:t>
            </w:r>
            <w:r w:rsidR="0059503F" w:rsidRPr="008D16C5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4CD5EA86" w14:textId="77777777" w:rsidR="00184F74" w:rsidRDefault="00184F74" w:rsidP="00184F74">
      <w:pPr>
        <w:spacing w:after="0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</w:p>
    <w:p w14:paraId="3B8A587C" w14:textId="05CA80F6" w:rsidR="00390BEE" w:rsidRPr="00264DCC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Hodnotiteľ posudzuje informácie uvedené v častiach </w:t>
      </w:r>
      <w:proofErr w:type="spellStart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: 7.2 Spôsob realizácie aktivít projektu, 9. Harmonogram realizácie aktivít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 xml:space="preserve">, </w:t>
      </w:r>
      <w:r w:rsidR="0012573E" w:rsidRPr="00F50271">
        <w:rPr>
          <w:rFonts w:ascii="Arial Narrow" w:hAnsi="Arial Narrow" w:cs="Arial"/>
          <w:color w:val="000000" w:themeColor="text1"/>
        </w:rPr>
        <w:t>10.1 Aktivity projektu a očakávané merateľné ukazovatele</w:t>
      </w:r>
      <w:r w:rsidR="0012573E">
        <w:rPr>
          <w:rFonts w:ascii="Arial Narrow" w:hAnsi="Arial Narrow" w:cs="Arial"/>
          <w:color w:val="000000" w:themeColor="text1"/>
        </w:rPr>
        <w:t>.</w:t>
      </w:r>
    </w:p>
    <w:p w14:paraId="4571659D" w14:textId="77777777" w:rsidR="00390BEE" w:rsidRPr="00264DCC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Hodnotiteľ posudzuje najmä plnenie nasledovných oblastí:</w:t>
      </w:r>
    </w:p>
    <w:p w14:paraId="2A540656" w14:textId="77777777" w:rsidR="00390BEE" w:rsidRPr="00264DCC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jednotlivé aktivity, resp. čiastkové práce na projekte na seba vecne a logicky nadväzujú,</w:t>
      </w:r>
    </w:p>
    <w:p w14:paraId="02CD4297" w14:textId="64439DAE" w:rsidR="00390BEE" w:rsidRPr="0012573E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12573E">
        <w:rPr>
          <w:rFonts w:ascii="Arial Narrow" w:eastAsiaTheme="majorEastAsia" w:hAnsi="Arial Narrow" w:cs="Arial"/>
          <w:color w:val="000000" w:themeColor="text1"/>
          <w:lang w:bidi="en-US"/>
        </w:rPr>
        <w:t>dĺžka trvania jednotlivých aktivít je realistická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 xml:space="preserve"> a umožňuje dosiahnutie výstupov projektu v navrhovanom rozsahu,</w:t>
      </w:r>
    </w:p>
    <w:p w14:paraId="46460162" w14:textId="13CAD017" w:rsidR="00CA38A2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časové obdobie realizácie projektu je v súlade s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>o súvisiacou dokumentáciou</w:t>
      </w:r>
      <w:r w:rsidR="00962204">
        <w:rPr>
          <w:rFonts w:ascii="Arial Narrow" w:eastAsiaTheme="majorEastAsia" w:hAnsi="Arial Narrow" w:cs="Arial"/>
          <w:color w:val="000000" w:themeColor="text1"/>
          <w:lang w:bidi="en-US"/>
        </w:rPr>
        <w:t xml:space="preserve"> (napr. prílohy </w:t>
      </w:r>
      <w:proofErr w:type="spellStart"/>
      <w:r w:rsidR="00962204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="00962204">
        <w:rPr>
          <w:rFonts w:ascii="Arial Narrow" w:eastAsiaTheme="majorEastAsia" w:hAnsi="Arial Narrow" w:cs="Arial"/>
          <w:color w:val="000000" w:themeColor="text1"/>
          <w:lang w:bidi="en-US"/>
        </w:rPr>
        <w:t>)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 xml:space="preserve">, 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ďalšími lehotami vyplývajúcimi z legislatívy SR, relevantnými zmluvnými vzťahmi, resp. relevantnými povoleniami súvi</w:t>
      </w:r>
      <w:r w:rsidR="00264DCC">
        <w:rPr>
          <w:rFonts w:ascii="Arial Narrow" w:eastAsiaTheme="majorEastAsia" w:hAnsi="Arial Narrow" w:cs="Arial"/>
          <w:color w:val="000000" w:themeColor="text1"/>
          <w:lang w:bidi="en-US"/>
        </w:rPr>
        <w:t>siacimi s realizáciou projektu (ak relevantné)</w:t>
      </w:r>
      <w:r w:rsidR="00CA38A2">
        <w:rPr>
          <w:rFonts w:ascii="Arial Narrow" w:eastAsiaTheme="majorEastAsia" w:hAnsi="Arial Narrow" w:cs="Arial"/>
          <w:color w:val="000000" w:themeColor="text1"/>
          <w:lang w:bidi="en-US"/>
        </w:rPr>
        <w:t>,</w:t>
      </w:r>
    </w:p>
    <w:p w14:paraId="41BFF14A" w14:textId="4B44877E" w:rsidR="00CA38A2" w:rsidRPr="00CE4916" w:rsidRDefault="00CA38A2" w:rsidP="00E75A52">
      <w:pPr>
        <w:numPr>
          <w:ilvl w:val="0"/>
          <w:numId w:val="35"/>
        </w:numPr>
        <w:spacing w:after="0"/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CE4916">
        <w:rPr>
          <w:rFonts w:ascii="Arial Narrow" w:eastAsia="Helvetica" w:hAnsi="Arial Narrow" w:cs="Arial"/>
          <w:color w:val="000000" w:themeColor="text1"/>
        </w:rPr>
        <w:t xml:space="preserve">hodnoty merateľných ukazovateľov sú </w:t>
      </w:r>
      <w:r w:rsidR="00EE694F" w:rsidRPr="00CE4916">
        <w:rPr>
          <w:rFonts w:ascii="Arial Narrow" w:eastAsia="Helvetica" w:hAnsi="Arial Narrow" w:cs="Arial"/>
          <w:color w:val="000000" w:themeColor="text1"/>
        </w:rPr>
        <w:t xml:space="preserve">reálne a </w:t>
      </w:r>
      <w:r w:rsidRPr="00CE4916">
        <w:rPr>
          <w:rFonts w:ascii="Arial Narrow" w:eastAsia="Helvetica" w:hAnsi="Arial Narrow" w:cs="Arial"/>
          <w:color w:val="000000" w:themeColor="text1"/>
        </w:rPr>
        <w:t>vecne dosiahnuteľné realizáciou navrhovaných aktivít,</w:t>
      </w:r>
    </w:p>
    <w:p w14:paraId="1F13D6C2" w14:textId="0E699B69" w:rsidR="00756D53" w:rsidRPr="00CE4916" w:rsidRDefault="00CA38A2" w:rsidP="00CE4916">
      <w:pPr>
        <w:numPr>
          <w:ilvl w:val="0"/>
          <w:numId w:val="35"/>
        </w:numPr>
        <w:spacing w:after="0" w:line="240" w:lineRule="auto"/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CE4916">
        <w:rPr>
          <w:rFonts w:ascii="Arial Narrow" w:eastAsia="Helvetica" w:hAnsi="Arial Narrow" w:cs="Arial"/>
          <w:color w:val="000000" w:themeColor="text1"/>
        </w:rPr>
        <w:t xml:space="preserve">hodnoty merateľných ukazovateľov sú časovo dosiahnuteľné v rámci plánovaného harmonogramu realizácie aktivít </w:t>
      </w:r>
      <w:proofErr w:type="spellStart"/>
      <w:r w:rsidRPr="00CE4916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756D53" w:rsidRPr="00CE4916">
        <w:rPr>
          <w:rFonts w:ascii="Arial Narrow" w:eastAsia="Helvetica" w:hAnsi="Arial Narrow" w:cs="Arial"/>
          <w:color w:val="000000" w:themeColor="text1"/>
        </w:rPr>
        <w:t>,</w:t>
      </w:r>
    </w:p>
    <w:p w14:paraId="7B988044" w14:textId="0C2537E5" w:rsidR="00CA38A2" w:rsidRPr="00CE4916" w:rsidRDefault="00040728" w:rsidP="00E75A52">
      <w:pPr>
        <w:numPr>
          <w:ilvl w:val="0"/>
          <w:numId w:val="35"/>
        </w:numPr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CE4916">
        <w:rPr>
          <w:rFonts w:ascii="Arial Narrow" w:eastAsia="Helvetica" w:hAnsi="Arial Narrow" w:cs="Arial"/>
          <w:color w:val="000000" w:themeColor="text1"/>
        </w:rPr>
        <w:t xml:space="preserve">odborná </w:t>
      </w:r>
      <w:r w:rsidR="00756D53" w:rsidRPr="00CE4916">
        <w:rPr>
          <w:rFonts w:ascii="Arial Narrow" w:eastAsia="Helvetica" w:hAnsi="Arial Narrow" w:cs="Arial"/>
          <w:color w:val="000000" w:themeColor="text1"/>
        </w:rPr>
        <w:t>kapacita implementačného tímu projektu</w:t>
      </w:r>
      <w:r w:rsidR="00CA38A2" w:rsidRPr="00CE4916">
        <w:rPr>
          <w:rFonts w:ascii="Arial Narrow" w:eastAsia="Helvetica" w:hAnsi="Arial Narrow" w:cs="Arial"/>
          <w:color w:val="000000" w:themeColor="text1"/>
        </w:rPr>
        <w:t>.</w:t>
      </w:r>
    </w:p>
    <w:p w14:paraId="3169579F" w14:textId="00DCE95A" w:rsidR="00390BEE" w:rsidRPr="00264DCC" w:rsidRDefault="00264DCC" w:rsidP="00EE694F">
      <w:pPr>
        <w:spacing w:after="120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F50271">
        <w:rPr>
          <w:rFonts w:ascii="Arial Narrow" w:hAnsi="Arial Narrow" w:cs="Arial"/>
          <w:b/>
          <w:color w:val="000000" w:themeColor="text1"/>
        </w:rPr>
        <w:t xml:space="preserve">V prípade, že </w:t>
      </w:r>
      <w:proofErr w:type="spellStart"/>
      <w:r w:rsidRPr="00F50271">
        <w:rPr>
          <w:rFonts w:ascii="Arial Narrow" w:hAnsi="Arial Narrow" w:cs="Arial"/>
          <w:b/>
          <w:color w:val="000000" w:themeColor="text1"/>
        </w:rPr>
        <w:t>ŽoNFP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 (</w:t>
      </w:r>
      <w:r w:rsidR="00184F74">
        <w:rPr>
          <w:rFonts w:ascii="Arial Narrow" w:hAnsi="Arial Narrow" w:cs="Arial"/>
          <w:b/>
          <w:color w:val="000000" w:themeColor="text1"/>
        </w:rPr>
        <w:t xml:space="preserve">navrhovaný </w:t>
      </w:r>
      <w:r>
        <w:rPr>
          <w:rFonts w:ascii="Arial Narrow" w:hAnsi="Arial Narrow" w:cs="Arial"/>
          <w:b/>
          <w:color w:val="000000" w:themeColor="text1"/>
        </w:rPr>
        <w:t>projekt)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Pr="00504909">
        <w:rPr>
          <w:rFonts w:ascii="Arial Narrow" w:eastAsia="Helvetica" w:hAnsi="Arial Narrow" w:cs="Arial"/>
          <w:color w:val="000000" w:themeColor="text1"/>
        </w:rPr>
        <w:t xml:space="preserve">umožňuje dosiahnutie výstupov projektu v navrhovanom rozsahu, </w:t>
      </w:r>
      <w:r w:rsidR="0046662C">
        <w:rPr>
          <w:rFonts w:ascii="Arial Narrow" w:eastAsia="Helvetica" w:hAnsi="Arial Narrow" w:cs="Arial"/>
          <w:color w:val="000000" w:themeColor="text1"/>
        </w:rPr>
        <w:t xml:space="preserve">všetky </w:t>
      </w:r>
      <w:r w:rsidRPr="00504909">
        <w:rPr>
          <w:rFonts w:ascii="Arial Narrow" w:eastAsia="Helvetica" w:hAnsi="Arial Narrow" w:cs="Arial"/>
          <w:color w:val="000000" w:themeColor="text1"/>
        </w:rPr>
        <w:t>aktivity projektu majú logickú vzájomnú súvislosť, časové lehoty realizácie aktivít sú reálne a sú v súlade so súvisiacou dokumentáciou</w:t>
      </w:r>
      <w:r w:rsidR="00962204">
        <w:rPr>
          <w:rFonts w:ascii="Arial Narrow" w:eastAsia="Helvetica" w:hAnsi="Arial Narrow" w:cs="Arial"/>
          <w:color w:val="000000" w:themeColor="text1"/>
        </w:rPr>
        <w:t xml:space="preserve"> (napr. prílohy </w:t>
      </w:r>
      <w:proofErr w:type="spellStart"/>
      <w:r w:rsidR="00962204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962204">
        <w:rPr>
          <w:rFonts w:ascii="Arial Narrow" w:eastAsia="Helvetica" w:hAnsi="Arial Narrow" w:cs="Arial"/>
          <w:color w:val="000000" w:themeColor="text1"/>
        </w:rPr>
        <w:t>)</w:t>
      </w:r>
      <w:r w:rsidR="00CA38A2">
        <w:rPr>
          <w:rFonts w:ascii="Arial Narrow" w:eastAsia="Helvetica" w:hAnsi="Arial Narrow" w:cs="Arial"/>
          <w:color w:val="000000" w:themeColor="text1"/>
        </w:rPr>
        <w:t>,</w:t>
      </w:r>
      <w:r w:rsidR="00CA38A2" w:rsidRPr="00CA38A2">
        <w:rPr>
          <w:rFonts w:ascii="Arial Narrow" w:eastAsia="Helvetica" w:hAnsi="Arial Narrow" w:cs="Arial"/>
          <w:color w:val="000000" w:themeColor="text1"/>
        </w:rPr>
        <w:t xml:space="preserve"> </w:t>
      </w:r>
      <w:r w:rsidR="00CA38A2">
        <w:rPr>
          <w:rFonts w:ascii="Arial Narrow" w:eastAsia="Helvetica" w:hAnsi="Arial Narrow" w:cs="Arial"/>
          <w:color w:val="000000" w:themeColor="text1"/>
        </w:rPr>
        <w:t>hodnoty merateľných ukazovatele sú</w:t>
      </w:r>
      <w:r w:rsidR="00EE694F">
        <w:rPr>
          <w:rFonts w:ascii="Arial Narrow" w:eastAsia="Helvetica" w:hAnsi="Arial Narrow" w:cs="Arial"/>
          <w:color w:val="000000" w:themeColor="text1"/>
        </w:rPr>
        <w:t xml:space="preserve"> vecne a časovo</w:t>
      </w:r>
      <w:r w:rsidR="00CA38A2">
        <w:rPr>
          <w:rFonts w:ascii="Arial Narrow" w:eastAsia="Helvetica" w:hAnsi="Arial Narrow" w:cs="Arial"/>
          <w:color w:val="000000" w:themeColor="text1"/>
        </w:rPr>
        <w:t xml:space="preserve"> reálne a primerané voči výške žiadaného NFP a rozsahu aktivít</w:t>
      </w:r>
      <w:r w:rsidR="00F53CF8">
        <w:rPr>
          <w:rFonts w:ascii="Arial Narrow" w:eastAsia="Helvetica" w:hAnsi="Arial Narrow" w:cs="Arial"/>
          <w:b/>
          <w:color w:val="000000" w:themeColor="text1"/>
        </w:rPr>
        <w:t xml:space="preserve"> hodnotiteľ priradí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áno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 V opačnom prípade</w:t>
      </w:r>
      <w:r>
        <w:rPr>
          <w:rFonts w:ascii="Arial Narrow" w:eastAsia="Helvetica" w:hAnsi="Arial Narrow" w:cs="Arial"/>
          <w:b/>
          <w:color w:val="000000" w:themeColor="text1"/>
        </w:rPr>
        <w:t xml:space="preserve">, ak hodnotiteľ </w:t>
      </w:r>
      <w:r w:rsidRPr="00EE694F">
        <w:rPr>
          <w:rFonts w:ascii="Arial Narrow" w:eastAsia="Helvetica" w:hAnsi="Arial Narrow" w:cs="Arial"/>
          <w:b/>
          <w:color w:val="000000" w:themeColor="text1"/>
        </w:rPr>
        <w:t xml:space="preserve">identifikuje </w:t>
      </w:r>
      <w:r w:rsidR="0046662C">
        <w:rPr>
          <w:rFonts w:ascii="Arial Narrow" w:eastAsia="Helvetica" w:hAnsi="Arial Narrow" w:cs="Arial"/>
          <w:b/>
          <w:color w:val="000000" w:themeColor="text1"/>
        </w:rPr>
        <w:t>aspoň jeden</w:t>
      </w:r>
      <w:r w:rsidRPr="00EE694F">
        <w:rPr>
          <w:rFonts w:ascii="Arial Narrow" w:eastAsia="Helvetica" w:hAnsi="Arial Narrow" w:cs="Arial"/>
          <w:b/>
          <w:color w:val="000000" w:themeColor="text1"/>
        </w:rPr>
        <w:t xml:space="preserve"> nedostat</w:t>
      </w:r>
      <w:r w:rsidR="0046662C">
        <w:rPr>
          <w:rFonts w:ascii="Arial Narrow" w:eastAsia="Helvetica" w:hAnsi="Arial Narrow" w:cs="Arial"/>
          <w:b/>
          <w:color w:val="000000" w:themeColor="text1"/>
        </w:rPr>
        <w:t>o</w:t>
      </w:r>
      <w:r w:rsidRPr="00EE694F">
        <w:rPr>
          <w:rFonts w:ascii="Arial Narrow" w:eastAsia="Helvetica" w:hAnsi="Arial Narrow" w:cs="Arial"/>
          <w:b/>
          <w:color w:val="000000" w:themeColor="text1"/>
        </w:rPr>
        <w:t>k</w:t>
      </w:r>
      <w:r>
        <w:rPr>
          <w:rFonts w:ascii="Arial Narrow" w:eastAsia="Helvetica" w:hAnsi="Arial Narrow" w:cs="Arial"/>
          <w:b/>
          <w:color w:val="000000" w:themeColor="text1"/>
        </w:rPr>
        <w:t xml:space="preserve"> v navrhovanom spôsobe realizácie aktivít projektu,</w:t>
      </w:r>
      <w:r w:rsidR="00F53CF8">
        <w:rPr>
          <w:rFonts w:ascii="Arial Narrow" w:eastAsia="Helvetica" w:hAnsi="Arial Narrow" w:cs="Arial"/>
          <w:b/>
          <w:color w:val="000000" w:themeColor="text1"/>
        </w:rPr>
        <w:t xml:space="preserve"> priradí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nie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</w:t>
      </w:r>
    </w:p>
    <w:p w14:paraId="63E48A4C" w14:textId="7E3E71E8" w:rsidR="00390BEE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F50388">
        <w:rPr>
          <w:rFonts w:ascii="Arial Narrow" w:eastAsiaTheme="majorEastAsia" w:hAnsi="Arial Narrow" w:cs="Arial"/>
          <w:b/>
          <w:color w:val="000000" w:themeColor="text1"/>
          <w:lang w:bidi="en-US"/>
        </w:rPr>
        <w:t>Hodnotiteľ svoju odpoveď zdôvodní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 v hodnotiacom hárku odborného hodnotenia v časti </w:t>
      </w:r>
      <w:r w:rsidR="00264DCC">
        <w:rPr>
          <w:rFonts w:ascii="Arial Narrow" w:eastAsiaTheme="majorEastAsia" w:hAnsi="Arial Narrow" w:cs="Arial"/>
          <w:color w:val="000000" w:themeColor="text1"/>
          <w:lang w:bidi="en-US"/>
        </w:rPr>
        <w:t>„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Komentár</w:t>
      </w:r>
      <w:r w:rsidR="00264DCC">
        <w:rPr>
          <w:rFonts w:ascii="Arial Narrow" w:eastAsiaTheme="majorEastAsia" w:hAnsi="Arial Narrow" w:cs="Arial"/>
          <w:color w:val="000000" w:themeColor="text1"/>
          <w:lang w:bidi="en-US"/>
        </w:rPr>
        <w:t>“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 a súčasne uvedie odkaz na dokument vrátane relevantnej časti (</w:t>
      </w:r>
      <w:proofErr w:type="spellStart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 a relevantnej prílohy), na základe ktorej bolo vykonané hodnotenie. Hodnotiteľ je povinný uviesť odpoveď pri každom konkrétnom hodnotení</w:t>
      </w:r>
      <w:r w:rsidR="003E01A4" w:rsidRPr="00264DCC">
        <w:rPr>
          <w:rFonts w:ascii="Arial Narrow" w:eastAsiaTheme="majorEastAsia" w:hAnsi="Arial Narrow" w:cs="Arial"/>
          <w:color w:val="000000" w:themeColor="text1"/>
          <w:lang w:bidi="en-US"/>
        </w:rPr>
        <w:t>.</w:t>
      </w:r>
    </w:p>
    <w:p w14:paraId="4C39C842" w14:textId="0FBFA9A7" w:rsidR="00390BEE" w:rsidRDefault="00390BEE" w:rsidP="00CD5DA4">
      <w:pPr>
        <w:spacing w:after="0"/>
        <w:rPr>
          <w:rFonts w:ascii="Arial Narrow" w:eastAsia="Helvetica" w:hAnsi="Arial Narrow" w:cs="Arial"/>
          <w:color w:val="000000" w:themeColor="text1"/>
          <w:sz w:val="19"/>
          <w:szCs w:val="19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42"/>
        <w:gridCol w:w="7958"/>
        <w:gridCol w:w="1013"/>
        <w:gridCol w:w="3929"/>
      </w:tblGrid>
      <w:tr w:rsidR="002526E6" w:rsidRPr="00F23A87" w14:paraId="377A9804" w14:textId="77777777" w:rsidTr="002526E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3CAC425C" w14:textId="0CAE24FC" w:rsidR="002526E6" w:rsidRPr="002526E6" w:rsidRDefault="002526E6" w:rsidP="002526E6">
            <w:pPr>
              <w:pStyle w:val="Tabtex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526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Hodnotiace kritérium</w:t>
            </w:r>
          </w:p>
        </w:tc>
      </w:tr>
      <w:tr w:rsidR="002526E6" w:rsidRPr="00F23A87" w14:paraId="029CA371" w14:textId="77777777" w:rsidTr="002526E6">
        <w:trPr>
          <w:trHeight w:val="300"/>
        </w:trPr>
        <w:tc>
          <w:tcPr>
            <w:tcW w:w="135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4A43C7" w14:textId="76720394" w:rsidR="002526E6" w:rsidRPr="002526E6" w:rsidRDefault="00D7285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5</w:t>
            </w:r>
            <w:r w:rsidR="002526E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E7E89EF" w14:textId="40B9EC84" w:rsidR="002526E6" w:rsidRPr="00F50271" w:rsidRDefault="002526E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2526E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Spĺňajú výdavky uvedené v žiadosti podmienky oprávnenosti?</w:t>
            </w: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26AE10" w14:textId="221298D9" w:rsidR="002526E6" w:rsidRPr="00F50271" w:rsidRDefault="002526E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67F08921" w14:textId="77777777" w:rsidR="002526E6" w:rsidRPr="00F50271" w:rsidRDefault="002526E6" w:rsidP="00F77C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78" w:type="pct"/>
            <w:shd w:val="clear" w:color="auto" w:fill="DEEAF6" w:themeFill="accent1" w:themeFillTint="33"/>
            <w:vAlign w:val="center"/>
            <w:hideMark/>
          </w:tcPr>
          <w:p w14:paraId="11C9B7CB" w14:textId="77777777" w:rsidR="002526E6" w:rsidRPr="00F50271" w:rsidRDefault="002526E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1D63EF" w14:paraId="329518EB" w14:textId="77777777" w:rsidTr="002526E6">
        <w:trPr>
          <w:trHeight w:val="545"/>
        </w:trPr>
        <w:tc>
          <w:tcPr>
            <w:tcW w:w="135" w:type="pct"/>
            <w:vMerge/>
          </w:tcPr>
          <w:p w14:paraId="0519B037" w14:textId="77777777" w:rsidR="002526E6" w:rsidRPr="00F53CF8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666" w:type="pct"/>
            <w:vMerge/>
          </w:tcPr>
          <w:p w14:paraId="68078481" w14:textId="5D46EDB2" w:rsidR="002526E6" w:rsidRPr="00F53CF8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8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F4238" w14:textId="728C61F6" w:rsidR="002526E6" w:rsidRPr="001D63EF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eastAsia="sk-SK"/>
              </w:rPr>
              <w:t xml:space="preserve">Posudzuje sa, či </w:t>
            </w:r>
            <w:r w:rsidR="0062463B" w:rsidRPr="00CE4916">
              <w:rPr>
                <w:rFonts w:ascii="Arial Narrow" w:eastAsia="Times New Roman" w:hAnsi="Arial Narrow" w:cs="Arial"/>
                <w:lang w:eastAsia="sk-SK"/>
              </w:rPr>
              <w:t xml:space="preserve">navrhované 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>výdavky projektu spĺňajú všetky podmienky oprávnenosti definované v</w:t>
            </w:r>
            <w:r w:rsidR="00C868F0" w:rsidRPr="008D16C5">
              <w:rPr>
                <w:rFonts w:ascii="Arial Narrow" w:eastAsia="Times New Roman" w:hAnsi="Arial Narrow" w:cs="Arial"/>
                <w:lang w:eastAsia="sk-SK"/>
              </w:rPr>
              <w:t>o výzve</w:t>
            </w:r>
            <w:r w:rsidR="00C868F0" w:rsidRPr="001D63EF">
              <w:rPr>
                <w:rFonts w:ascii="Arial Narrow" w:eastAsia="Times New Roman" w:hAnsi="Arial Narrow" w:cs="Arial"/>
                <w:lang w:eastAsia="sk-SK"/>
              </w:rPr>
              <w:t xml:space="preserve"> v časti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 upravujúcej oblasť oprávnenosti výdavkov (vecná oprávnenosť a účelnosť výdavkov, hospodárnosť a efektívnosť výdavkov, územná oprávnenosť výdavkov, časová oprávnenosť výdavkov a pod.).</w:t>
            </w:r>
          </w:p>
          <w:p w14:paraId="4E36DE79" w14:textId="6CA257CD" w:rsidR="002526E6" w:rsidRPr="001D63EF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Pozn.: V prípade identifikácie neoprávnených výdavkov projektu sa v procese odborného hodnotenia výška celkových oprávnených výdavkov projektu adekvátne zníži.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A01992F" w14:textId="77777777" w:rsidR="002526E6" w:rsidRPr="001D63EF" w:rsidRDefault="002526E6" w:rsidP="00F77C01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1A5E66A9" w14:textId="39721C7F" w:rsidR="002526E6" w:rsidRPr="001D63EF" w:rsidRDefault="002526E6" w:rsidP="00F53CF8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hAnsi="Arial Narrow"/>
                <w:b/>
                <w:bCs/>
              </w:rPr>
              <w:t>70</w:t>
            </w:r>
            <w:r w:rsidRPr="001D63EF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  <w:b/>
              </w:rPr>
              <w:t>%</w:t>
            </w:r>
            <w:r w:rsidRPr="001D63EF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  <w:b/>
              </w:rPr>
              <w:t>a</w:t>
            </w:r>
            <w:r w:rsidRPr="001D63EF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  <w:b/>
              </w:rPr>
              <w:t>viac</w:t>
            </w:r>
            <w:r w:rsidRPr="001D63EF">
              <w:rPr>
                <w:rFonts w:ascii="Arial Narrow" w:hAnsi="Arial Narrow"/>
              </w:rPr>
              <w:t xml:space="preserve"> finančnej hodnoty žiadateľom definovaných celkových oprávnených</w:t>
            </w:r>
            <w:r w:rsidRPr="001D63EF" w:rsidDel="00AA1F91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</w:rPr>
              <w:t xml:space="preserve">výdavkov projektu je </w:t>
            </w:r>
            <w:r w:rsidRPr="001D63EF">
              <w:rPr>
                <w:rFonts w:ascii="Arial Narrow" w:hAnsi="Arial Narrow"/>
                <w:b/>
                <w:bCs/>
              </w:rPr>
              <w:t xml:space="preserve">oprávnených </w:t>
            </w:r>
            <w:r w:rsidRPr="001D63EF">
              <w:rPr>
                <w:rFonts w:ascii="Arial Narrow" w:hAnsi="Arial Narrow"/>
                <w:bCs/>
              </w:rPr>
              <w:t>vzhľadom k stanoveným cieľom a očakávaným výstupom projektu</w:t>
            </w:r>
          </w:p>
        </w:tc>
      </w:tr>
      <w:tr w:rsidR="002526E6" w:rsidRPr="001D63EF" w14:paraId="40BD7FAF" w14:textId="77777777" w:rsidTr="00EE694F">
        <w:trPr>
          <w:trHeight w:val="1031"/>
        </w:trPr>
        <w:tc>
          <w:tcPr>
            <w:tcW w:w="135" w:type="pct"/>
            <w:vMerge/>
          </w:tcPr>
          <w:p w14:paraId="13988585" w14:textId="77777777" w:rsidR="002526E6" w:rsidRPr="001D63EF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666" w:type="pct"/>
            <w:vMerge/>
          </w:tcPr>
          <w:p w14:paraId="78FD8063" w14:textId="0CA43BD8" w:rsidR="002526E6" w:rsidRPr="001D63EF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14:paraId="1CE9B9B4" w14:textId="03734A7E" w:rsidR="002526E6" w:rsidRPr="001D63EF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D85E90F" w14:textId="77777777" w:rsidR="002526E6" w:rsidRPr="001D63EF" w:rsidRDefault="002526E6" w:rsidP="00F77C01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254AC6E8" w14:textId="2D059FF4" w:rsidR="002526E6" w:rsidRPr="001D63EF" w:rsidRDefault="002526E6" w:rsidP="00F53CF8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hAnsi="Arial Narrow"/>
                <w:b/>
                <w:bCs/>
              </w:rPr>
              <w:t xml:space="preserve">Menej ako 70% </w:t>
            </w:r>
            <w:r w:rsidRPr="001D63EF">
              <w:rPr>
                <w:rFonts w:ascii="Arial Narrow" w:hAnsi="Arial Narrow"/>
              </w:rPr>
              <w:t xml:space="preserve">finančnej hodnoty žiadateľom definovaných celkových oprávnených výdavkov projektu je </w:t>
            </w:r>
            <w:r w:rsidRPr="001D63EF">
              <w:rPr>
                <w:rFonts w:ascii="Arial Narrow" w:hAnsi="Arial Narrow"/>
                <w:b/>
                <w:bCs/>
              </w:rPr>
              <w:t xml:space="preserve">oprávnených </w:t>
            </w:r>
            <w:r w:rsidRPr="001D63EF">
              <w:rPr>
                <w:rFonts w:ascii="Arial Narrow" w:hAnsi="Arial Narrow"/>
                <w:bCs/>
              </w:rPr>
              <w:t>vzhľadom k stanoveným cieľom a očakávaným výstupom projektu.</w:t>
            </w:r>
          </w:p>
        </w:tc>
      </w:tr>
    </w:tbl>
    <w:p w14:paraId="74C82405" w14:textId="360B0678" w:rsidR="00A64B3D" w:rsidRPr="001D63EF" w:rsidRDefault="00A64B3D" w:rsidP="00802B73">
      <w:pPr>
        <w:jc w:val="both"/>
        <w:rPr>
          <w:rFonts w:ascii="Arial Narrow" w:eastAsia="Helvetica" w:hAnsi="Arial Narrow" w:cs="Arial"/>
          <w:color w:val="000000" w:themeColor="text1"/>
        </w:rPr>
      </w:pPr>
    </w:p>
    <w:p w14:paraId="600407DA" w14:textId="3A2921B3" w:rsidR="009A42AB" w:rsidRPr="001D63EF" w:rsidRDefault="009A42AB" w:rsidP="00802B73">
      <w:pPr>
        <w:jc w:val="both"/>
        <w:rPr>
          <w:rFonts w:ascii="Arial Narrow" w:eastAsia="Helvetica" w:hAnsi="Arial Narrow" w:cs="Arial"/>
          <w:color w:val="000000" w:themeColor="text1"/>
        </w:rPr>
      </w:pPr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 xml:space="preserve">Hodnotiteľ posudzuje informácie uvedené v časti </w:t>
      </w:r>
      <w:proofErr w:type="spellStart"/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 xml:space="preserve">: 11 Rozpočet projektu, v prílohe </w:t>
      </w:r>
      <w:proofErr w:type="spellStart"/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="00CD44DD" w:rsidRPr="001D63EF">
        <w:rPr>
          <w:rFonts w:ascii="Arial Narrow" w:eastAsiaTheme="majorEastAsia" w:hAnsi="Arial Narrow" w:cs="Arial"/>
          <w:color w:val="000000" w:themeColor="text1"/>
          <w:lang w:bidi="en-US"/>
        </w:rPr>
        <w:t xml:space="preserve"> </w:t>
      </w:r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>rozpočet projektu</w:t>
      </w:r>
      <w:r w:rsidR="00CD44DD" w:rsidRPr="001D63EF">
        <w:rPr>
          <w:rFonts w:ascii="Arial Narrow" w:eastAsiaTheme="majorEastAsia" w:hAnsi="Arial Narrow" w:cs="Arial"/>
          <w:color w:val="000000" w:themeColor="text1"/>
          <w:lang w:bidi="en-US"/>
        </w:rPr>
        <w:t>, projektový zámer (ak relevantné).</w:t>
      </w:r>
    </w:p>
    <w:p w14:paraId="66CF9756" w14:textId="13F5C13C" w:rsidR="00F53CF8" w:rsidRDefault="00F53CF8" w:rsidP="00F53CF8">
      <w:pPr>
        <w:spacing w:before="120" w:after="120" w:line="276" w:lineRule="auto"/>
        <w:jc w:val="both"/>
        <w:rPr>
          <w:rFonts w:ascii="Arial Narrow" w:hAnsi="Arial Narrow"/>
          <w:b/>
          <w:color w:val="000000"/>
          <w:lang w:eastAsia="cs-CZ"/>
        </w:rPr>
      </w:pPr>
      <w:r w:rsidRPr="001D63EF">
        <w:rPr>
          <w:rFonts w:ascii="Arial Narrow" w:hAnsi="Arial Narrow"/>
          <w:color w:val="000000"/>
          <w:lang w:eastAsia="cs-CZ"/>
        </w:rPr>
        <w:lastRenderedPageBreak/>
        <w:t xml:space="preserve">Hodnotiteľ posudzuje, či </w:t>
      </w:r>
      <w:r w:rsidR="0062463B" w:rsidRPr="001D63EF">
        <w:rPr>
          <w:rFonts w:ascii="Arial Narrow" w:hAnsi="Arial Narrow"/>
          <w:color w:val="000000"/>
          <w:lang w:eastAsia="cs-CZ"/>
        </w:rPr>
        <w:t xml:space="preserve">navrhované </w:t>
      </w:r>
      <w:r w:rsidRPr="001D63EF">
        <w:rPr>
          <w:rFonts w:ascii="Arial Narrow" w:hAnsi="Arial Narrow"/>
          <w:color w:val="000000"/>
          <w:lang w:eastAsia="cs-CZ"/>
        </w:rPr>
        <w:t>výdavky</w:t>
      </w:r>
      <w:r>
        <w:rPr>
          <w:rFonts w:ascii="Arial Narrow" w:hAnsi="Arial Narrow"/>
          <w:color w:val="000000"/>
          <w:lang w:eastAsia="cs-CZ"/>
        </w:rPr>
        <w:t xml:space="preserve"> projektu spĺňajú všetky podmienky oprávnenosti definované vo výzve</w:t>
      </w:r>
      <w:r w:rsidR="00FE785B">
        <w:rPr>
          <w:rFonts w:ascii="Arial Narrow" w:hAnsi="Arial Narrow"/>
          <w:color w:val="000000"/>
          <w:lang w:eastAsia="cs-CZ"/>
        </w:rPr>
        <w:t xml:space="preserve"> v časti</w:t>
      </w:r>
      <w:r>
        <w:rPr>
          <w:rFonts w:ascii="Arial Narrow" w:hAnsi="Arial Narrow"/>
          <w:color w:val="000000"/>
          <w:lang w:eastAsia="cs-CZ"/>
        </w:rPr>
        <w:t xml:space="preserve"> </w:t>
      </w:r>
      <w:r w:rsidRPr="00F53CF8">
        <w:rPr>
          <w:rFonts w:ascii="Arial Narrow" w:hAnsi="Arial Narrow"/>
          <w:color w:val="000000"/>
          <w:lang w:eastAsia="cs-CZ"/>
        </w:rPr>
        <w:t xml:space="preserve"> </w:t>
      </w:r>
      <w:r>
        <w:rPr>
          <w:rFonts w:ascii="Arial Narrow" w:hAnsi="Arial Narrow"/>
          <w:color w:val="000000"/>
          <w:lang w:eastAsia="cs-CZ"/>
        </w:rPr>
        <w:t>upravujúcej oblasť oprávnenosti výdavkov</w:t>
      </w:r>
      <w:r w:rsidRPr="00F53CF8">
        <w:rPr>
          <w:rFonts w:ascii="Arial Narrow" w:hAnsi="Arial Narrow"/>
          <w:b/>
          <w:color w:val="000000"/>
          <w:lang w:eastAsia="cs-CZ"/>
        </w:rPr>
        <w:t xml:space="preserve"> </w:t>
      </w:r>
      <w:r>
        <w:rPr>
          <w:rFonts w:ascii="Arial Narrow" w:hAnsi="Arial Narrow"/>
          <w:b/>
          <w:color w:val="000000"/>
          <w:lang w:eastAsia="cs-CZ"/>
        </w:rPr>
        <w:t>(vecná oprávnenosť a účelnosť výdavkov, hospodárnosť a efektívnosť výdavkov, územná oprávnenosť výdavkov, časová oprávnenosť výdavkov a pod.)</w:t>
      </w:r>
      <w:r>
        <w:rPr>
          <w:rFonts w:ascii="Arial Narrow" w:hAnsi="Arial Narrow"/>
          <w:color w:val="000000"/>
          <w:lang w:eastAsia="cs-CZ"/>
        </w:rPr>
        <w:t>, v pravidlách oprávnenosti pre skupiny výdavkov, pravidlá dokladovania a účtovného spracovania dokladov pre skupiny výdavkov (</w:t>
      </w:r>
      <w:r w:rsidR="0062463B">
        <w:rPr>
          <w:rFonts w:ascii="Arial Narrow" w:hAnsi="Arial Narrow"/>
          <w:color w:val="000000"/>
          <w:lang w:eastAsia="cs-CZ"/>
        </w:rPr>
        <w:t xml:space="preserve">napr. </w:t>
      </w:r>
      <w:proofErr w:type="spellStart"/>
      <w:r w:rsidR="00EE694F">
        <w:rPr>
          <w:rFonts w:ascii="Arial Narrow" w:hAnsi="Arial Narrow"/>
          <w:color w:val="000000"/>
          <w:lang w:eastAsia="cs-CZ"/>
        </w:rPr>
        <w:t>benchmarky</w:t>
      </w:r>
      <w:proofErr w:type="spellEnd"/>
      <w:r w:rsidR="00EE694F">
        <w:rPr>
          <w:rFonts w:ascii="Arial Narrow" w:hAnsi="Arial Narrow"/>
          <w:color w:val="000000"/>
          <w:lang w:eastAsia="cs-CZ"/>
        </w:rPr>
        <w:t xml:space="preserve">, </w:t>
      </w:r>
      <w:r>
        <w:rPr>
          <w:rFonts w:ascii="Arial Narrow" w:hAnsi="Arial Narrow"/>
          <w:color w:val="000000"/>
          <w:lang w:eastAsia="cs-CZ"/>
        </w:rPr>
        <w:t>limity) a pod.</w:t>
      </w:r>
    </w:p>
    <w:p w14:paraId="44EDAC89" w14:textId="435CF45D" w:rsidR="00F53CF8" w:rsidRDefault="00F53CF8" w:rsidP="00F53CF8">
      <w:pPr>
        <w:tabs>
          <w:tab w:val="left" w:pos="284"/>
        </w:tabs>
        <w:spacing w:before="120" w:after="120"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V</w:t>
      </w:r>
      <w:r w:rsidR="00EE694F">
        <w:rPr>
          <w:rFonts w:ascii="Arial Narrow" w:eastAsia="Times New Roman" w:hAnsi="Arial Narrow"/>
          <w:color w:val="000000"/>
        </w:rPr>
        <w:t>o výzve</w:t>
      </w:r>
      <w:r>
        <w:rPr>
          <w:rFonts w:ascii="Arial Narrow" w:eastAsia="Times New Roman" w:hAnsi="Arial Narrow"/>
          <w:color w:val="000000"/>
        </w:rPr>
        <w:t xml:space="preserve"> sú prehľadným spôsobom zadefinované pravidlá oprávnenosti výdavkov tak, aby boli vytvorené podmienky pre transparentné, jednoznačné a efektívne posudzovanie oprávnenosti výdavkov projektov v procese ich schvaľovania.</w:t>
      </w:r>
    </w:p>
    <w:p w14:paraId="6D00EBFE" w14:textId="77777777" w:rsidR="00F53CF8" w:rsidRDefault="00F53CF8" w:rsidP="00F53CF8">
      <w:pPr>
        <w:tabs>
          <w:tab w:val="left" w:pos="851"/>
        </w:tabs>
        <w:spacing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Vecne neoprávnené a neúčelné výdavky sú výdavky, ktoré: </w:t>
      </w:r>
    </w:p>
    <w:p w14:paraId="576A6283" w14:textId="77777777" w:rsidR="00F53CF8" w:rsidRDefault="00F53CF8" w:rsidP="00E75A52">
      <w:pPr>
        <w:numPr>
          <w:ilvl w:val="0"/>
          <w:numId w:val="42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nespĺňajú hospodárnosť a efektívnosť výdavkov, a/alebo </w:t>
      </w:r>
    </w:p>
    <w:p w14:paraId="27522384" w14:textId="77777777" w:rsidR="00F53CF8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nie sú oprávnené z časového a územného aspektu, a/alebo</w:t>
      </w:r>
    </w:p>
    <w:p w14:paraId="15295653" w14:textId="77777777" w:rsidR="00F53CF8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nie sú pre realizáciu projektu nevyhnutné, a/alebo </w:t>
      </w:r>
    </w:p>
    <w:p w14:paraId="6DE159AF" w14:textId="601760BC" w:rsidR="00F53CF8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nie sú vecne oprávnené podľa </w:t>
      </w:r>
      <w:r w:rsidR="003C4A08">
        <w:rPr>
          <w:rFonts w:ascii="Arial Narrow" w:eastAsia="Times New Roman" w:hAnsi="Arial Narrow"/>
          <w:szCs w:val="20"/>
        </w:rPr>
        <w:t>v</w:t>
      </w:r>
      <w:r>
        <w:rPr>
          <w:rFonts w:ascii="Arial Narrow" w:eastAsia="Times New Roman" w:hAnsi="Arial Narrow"/>
          <w:szCs w:val="20"/>
        </w:rPr>
        <w:t>ýzvy, resp. inej riadiacej dokumentácie.</w:t>
      </w:r>
    </w:p>
    <w:p w14:paraId="793A7CDE" w14:textId="7EC93446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Pri hodnotení oprávnenosti výdavkov hodnotiteľ vychádza z výzvy vrátane príloh a prihliada na informácie v rozpočte projektu,</w:t>
      </w:r>
      <w:r w:rsidR="00EE694F">
        <w:rPr>
          <w:rFonts w:ascii="Arial Narrow" w:eastAsia="Times New Roman" w:hAnsi="Arial Narrow"/>
          <w:szCs w:val="20"/>
        </w:rPr>
        <w:t xml:space="preserve"> </w:t>
      </w:r>
      <w:proofErr w:type="spellStart"/>
      <w:r w:rsidR="00EE694F">
        <w:rPr>
          <w:rFonts w:ascii="Arial Narrow" w:eastAsia="Times New Roman" w:hAnsi="Arial Narrow"/>
          <w:szCs w:val="20"/>
        </w:rPr>
        <w:t>ŽoNFP</w:t>
      </w:r>
      <w:proofErr w:type="spellEnd"/>
      <w:r w:rsidR="00EE694F">
        <w:rPr>
          <w:rFonts w:ascii="Arial Narrow" w:eastAsia="Times New Roman" w:hAnsi="Arial Narrow"/>
          <w:szCs w:val="20"/>
        </w:rPr>
        <w:t>,</w:t>
      </w:r>
      <w:r>
        <w:rPr>
          <w:rFonts w:ascii="Arial Narrow" w:eastAsia="Times New Roman" w:hAnsi="Arial Narrow"/>
          <w:szCs w:val="20"/>
        </w:rPr>
        <w:t xml:space="preserve"> v textovej časti finančnej analýzy (ak relevantné). </w:t>
      </w:r>
    </w:p>
    <w:p w14:paraId="53D538DF" w14:textId="77777777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V prípade identifikácie nedostatkov rozpočtu projektu spočívajúcich vo formálnych nedostatkoch (napr. nesprávna klasifikácia výdavkov z hľadiska účtovného zaradenia, resp. nesprávneho priradenia k aktivitám projektu a pod.), ktoré nemajú vplyv na posúdenie oprávnenosti výdavkov, sa tieto nedostatky nezahŕňajú do neoprávnených výdavkov.  </w:t>
      </w:r>
    </w:p>
    <w:p w14:paraId="35F3B654" w14:textId="07E75379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Ak hodnotiteľ identifikuje </w:t>
      </w:r>
      <w:r>
        <w:rPr>
          <w:rFonts w:ascii="Arial Narrow" w:eastAsia="Times New Roman" w:hAnsi="Arial Narrow"/>
          <w:b/>
          <w:szCs w:val="20"/>
        </w:rPr>
        <w:t>oprávnené výdavky</w:t>
      </w:r>
      <w:r>
        <w:rPr>
          <w:rFonts w:ascii="Arial Narrow" w:eastAsia="Times New Roman" w:hAnsi="Arial Narrow"/>
          <w:szCs w:val="20"/>
        </w:rPr>
        <w:t xml:space="preserve">, </w:t>
      </w:r>
      <w:r>
        <w:rPr>
          <w:rFonts w:ascii="Arial Narrow" w:eastAsia="Times New Roman" w:hAnsi="Arial Narrow"/>
          <w:b/>
          <w:szCs w:val="20"/>
        </w:rPr>
        <w:t xml:space="preserve">v rozsahu 70 % a viac </w:t>
      </w:r>
      <w:r w:rsidR="00D0257F" w:rsidRPr="00D0257F">
        <w:rPr>
          <w:rFonts w:ascii="Arial Narrow" w:eastAsia="Times New Roman" w:hAnsi="Arial Narrow"/>
          <w:szCs w:val="20"/>
        </w:rPr>
        <w:t>finančnej hodnoty žiadateľom definovaných</w:t>
      </w:r>
      <w:r>
        <w:rPr>
          <w:rFonts w:ascii="Arial Narrow" w:eastAsia="Times New Roman" w:hAnsi="Arial Narrow"/>
          <w:szCs w:val="20"/>
        </w:rPr>
        <w:t> celkových oprávnených výdavkov</w:t>
      </w:r>
      <w:r>
        <w:rPr>
          <w:rFonts w:ascii="Arial Narrow" w:eastAsia="Times New Roman" w:hAnsi="Arial Narrow"/>
          <w:b/>
          <w:szCs w:val="20"/>
        </w:rPr>
        <w:t>,</w:t>
      </w:r>
      <w:r>
        <w:rPr>
          <w:rFonts w:ascii="Arial Narrow" w:eastAsia="Times New Roman" w:hAnsi="Arial Narrow"/>
          <w:szCs w:val="20"/>
        </w:rPr>
        <w:t xml:space="preserve"> vzhľadom k stanoveným cieľom a očakávaným výstupom projektu, označí </w:t>
      </w:r>
      <w:r>
        <w:rPr>
          <w:rFonts w:ascii="Arial Narrow" w:eastAsia="Times New Roman" w:hAnsi="Arial Narrow"/>
          <w:b/>
          <w:szCs w:val="20"/>
        </w:rPr>
        <w:t>„áno“</w:t>
      </w:r>
      <w:r>
        <w:rPr>
          <w:rFonts w:ascii="Arial Narrow" w:eastAsia="Times New Roman" w:hAnsi="Arial Narrow"/>
          <w:szCs w:val="20"/>
        </w:rPr>
        <w:t xml:space="preserve">. </w:t>
      </w:r>
    </w:p>
    <w:p w14:paraId="61A67CE5" w14:textId="507A0E1D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Ak hodnotiteľ identifikuje </w:t>
      </w:r>
      <w:r>
        <w:rPr>
          <w:rFonts w:ascii="Arial Narrow" w:eastAsia="Times New Roman" w:hAnsi="Arial Narrow"/>
          <w:b/>
          <w:szCs w:val="20"/>
        </w:rPr>
        <w:t>oprávnené výdavky</w:t>
      </w:r>
      <w:r>
        <w:rPr>
          <w:rFonts w:ascii="Arial Narrow" w:eastAsia="Times New Roman" w:hAnsi="Arial Narrow"/>
          <w:szCs w:val="20"/>
        </w:rPr>
        <w:t xml:space="preserve"> vzhľadom k stanoveným cieľom a očakávaným výstupom projektu </w:t>
      </w:r>
      <w:r>
        <w:rPr>
          <w:rFonts w:ascii="Arial Narrow" w:eastAsia="Times New Roman" w:hAnsi="Arial Narrow"/>
          <w:b/>
          <w:szCs w:val="20"/>
        </w:rPr>
        <w:t>v rozsahu menej ako 70 %</w:t>
      </w:r>
      <w:r>
        <w:rPr>
          <w:rFonts w:ascii="Arial Narrow" w:eastAsia="Times New Roman" w:hAnsi="Arial Narrow"/>
          <w:szCs w:val="20"/>
        </w:rPr>
        <w:t xml:space="preserve"> </w:t>
      </w:r>
      <w:r w:rsidR="00D0257F" w:rsidRPr="00723C2E">
        <w:rPr>
          <w:rFonts w:ascii="Arial Narrow" w:hAnsi="Arial Narrow"/>
        </w:rPr>
        <w:t xml:space="preserve">finančnej hodnoty žiadateľom definovaných </w:t>
      </w:r>
      <w:r>
        <w:rPr>
          <w:rFonts w:ascii="Arial Narrow" w:eastAsia="Times New Roman" w:hAnsi="Arial Narrow"/>
          <w:szCs w:val="20"/>
        </w:rPr>
        <w:t>celkových oprávnených výdavkov, označí „</w:t>
      </w:r>
      <w:r>
        <w:rPr>
          <w:rFonts w:ascii="Arial Narrow" w:eastAsia="Times New Roman" w:hAnsi="Arial Narrow"/>
          <w:b/>
          <w:szCs w:val="20"/>
        </w:rPr>
        <w:t>nie</w:t>
      </w:r>
      <w:r>
        <w:rPr>
          <w:rFonts w:ascii="Arial Narrow" w:eastAsia="Times New Roman" w:hAnsi="Arial Narrow"/>
          <w:szCs w:val="20"/>
        </w:rPr>
        <w:t xml:space="preserve">“. </w:t>
      </w:r>
    </w:p>
    <w:p w14:paraId="77C3DE6D" w14:textId="77777777" w:rsidR="00F50388" w:rsidRDefault="00F50388" w:rsidP="00F50388">
      <w:pPr>
        <w:spacing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b/>
          <w:color w:val="000000" w:themeColor="text1"/>
        </w:rPr>
        <w:t>Hodnotiteľ svoju odpoveď zdôvodní</w:t>
      </w:r>
      <w:r w:rsidRPr="00F50271">
        <w:rPr>
          <w:rFonts w:ascii="Arial Narrow" w:hAnsi="Arial Narrow" w:cs="Arial"/>
          <w:color w:val="000000" w:themeColor="text1"/>
        </w:rPr>
        <w:t xml:space="preserve"> v hodnotiacom hárku odborného hodnotenia v časti </w:t>
      </w:r>
      <w:r>
        <w:rPr>
          <w:rFonts w:ascii="Arial Narrow" w:hAnsi="Arial Narrow" w:cs="Arial"/>
          <w:color w:val="000000" w:themeColor="text1"/>
        </w:rPr>
        <w:t xml:space="preserve">„Komentár“ </w:t>
      </w:r>
      <w:r w:rsidRPr="00F50271">
        <w:rPr>
          <w:rFonts w:ascii="Arial Narrow" w:hAnsi="Arial Narrow" w:cs="Arial"/>
          <w:color w:val="000000" w:themeColor="text1"/>
        </w:rPr>
        <w:t>a súčasne uvedie odkaz na dokument alebo relevantnú časť (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p w14:paraId="1CEC31A3" w14:textId="757C6179" w:rsidR="00F53CF8" w:rsidRDefault="00F53CF8" w:rsidP="00BC321E">
      <w:pPr>
        <w:tabs>
          <w:tab w:val="left" w:pos="0"/>
        </w:tabs>
        <w:spacing w:before="120" w:after="120" w:line="276" w:lineRule="auto"/>
        <w:jc w:val="both"/>
        <w:rPr>
          <w:rFonts w:ascii="Arial Narrow" w:eastAsia="Helvetica" w:hAnsi="Arial Narrow" w:cs="Arial"/>
          <w:color w:val="000000" w:themeColor="text1"/>
        </w:rPr>
      </w:pPr>
      <w:r>
        <w:rPr>
          <w:rFonts w:ascii="Arial Narrow" w:eastAsia="Times New Roman" w:hAnsi="Arial Narrow"/>
        </w:rPr>
        <w:t>Poznámka</w:t>
      </w:r>
      <w:r>
        <w:rPr>
          <w:rFonts w:ascii="Arial Narrow" w:eastAsia="Times New Roman" w:hAnsi="Arial Narrow"/>
          <w:b/>
        </w:rPr>
        <w:t>: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  <w:szCs w:val="20"/>
        </w:rPr>
        <w:t xml:space="preserve">V prípade identifikácie neoprávnených výdavkov projektu hodnotiteľ v procese odborného hodnotenia výšku priamych výdavkov projektu (hlavných aktivít) adekvátne zníži, a zároveň poníži aj nepriame výdavky (podporných aktivít), tak, aby ich </w:t>
      </w:r>
      <w:r w:rsidRPr="00EE694F">
        <w:rPr>
          <w:rFonts w:ascii="Arial Narrow" w:eastAsia="Times New Roman" w:hAnsi="Arial Narrow"/>
          <w:b/>
          <w:szCs w:val="20"/>
        </w:rPr>
        <w:t>výška neprekročila 7 % z celkových priamych výdavkov</w:t>
      </w:r>
      <w:r>
        <w:rPr>
          <w:rFonts w:ascii="Arial Narrow" w:eastAsia="Times New Roman" w:hAnsi="Arial Narrow"/>
          <w:szCs w:val="20"/>
        </w:rPr>
        <w:t xml:space="preserve"> v zmysle výzvy. </w:t>
      </w:r>
    </w:p>
    <w:p w14:paraId="5F0AAC03" w14:textId="77777777" w:rsidR="00F53CF8" w:rsidRDefault="00F53CF8" w:rsidP="00802B73">
      <w:pPr>
        <w:jc w:val="both"/>
        <w:rPr>
          <w:rFonts w:ascii="Arial Narrow" w:eastAsia="Helvetica" w:hAnsi="Arial Narrow" w:cs="Arial"/>
          <w:color w:val="000000" w:themeColor="text1"/>
        </w:rPr>
      </w:pPr>
    </w:p>
    <w:p w14:paraId="2DAEF2F2" w14:textId="77777777" w:rsidR="00F53CF8" w:rsidRDefault="00F53CF8" w:rsidP="00802B73">
      <w:pPr>
        <w:jc w:val="both"/>
        <w:rPr>
          <w:rFonts w:ascii="Arial Narrow" w:eastAsia="Helvetica" w:hAnsi="Arial Narrow" w:cs="Arial"/>
          <w:color w:val="000000" w:themeColor="text1"/>
        </w:rPr>
      </w:pPr>
    </w:p>
    <w:sectPr w:rsidR="00F53CF8" w:rsidSect="00BC321E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BA82" w14:textId="77777777" w:rsidR="00125D65" w:rsidRDefault="00125D65" w:rsidP="006447D5">
      <w:pPr>
        <w:spacing w:after="0" w:line="240" w:lineRule="auto"/>
      </w:pPr>
      <w:r>
        <w:separator/>
      </w:r>
    </w:p>
  </w:endnote>
  <w:endnote w:type="continuationSeparator" w:id="0">
    <w:p w14:paraId="6A3C7344" w14:textId="77777777" w:rsidR="00125D65" w:rsidRDefault="00125D6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9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32969" w14:textId="7A352FD3" w:rsidR="00900A28" w:rsidRDefault="00900A2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3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FA893C8" w14:textId="77777777" w:rsidR="00900A28" w:rsidRDefault="00900A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216895"/>
      <w:docPartObj>
        <w:docPartGallery w:val="Page Numbers (Bottom of Page)"/>
        <w:docPartUnique/>
      </w:docPartObj>
    </w:sdtPr>
    <w:sdtEndPr/>
    <w:sdtContent>
      <w:p w14:paraId="36B5615A" w14:textId="4A888E2A" w:rsidR="00900A28" w:rsidRDefault="00900A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FA">
          <w:rPr>
            <w:noProof/>
          </w:rPr>
          <w:t>1</w:t>
        </w:r>
        <w:r>
          <w:fldChar w:fldCharType="end"/>
        </w:r>
      </w:p>
    </w:sdtContent>
  </w:sdt>
  <w:p w14:paraId="67647B08" w14:textId="77777777" w:rsidR="00900A28" w:rsidRDefault="00900A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B472" w14:textId="77777777" w:rsidR="00125D65" w:rsidRDefault="00125D65" w:rsidP="006447D5">
      <w:pPr>
        <w:spacing w:after="0" w:line="240" w:lineRule="auto"/>
      </w:pPr>
      <w:r>
        <w:separator/>
      </w:r>
    </w:p>
  </w:footnote>
  <w:footnote w:type="continuationSeparator" w:id="0">
    <w:p w14:paraId="51CB50AB" w14:textId="77777777" w:rsidR="00125D65" w:rsidRDefault="00125D65" w:rsidP="006447D5">
      <w:pPr>
        <w:spacing w:after="0" w:line="240" w:lineRule="auto"/>
      </w:pPr>
      <w:r>
        <w:continuationSeparator/>
      </w:r>
    </w:p>
  </w:footnote>
  <w:footnote w:id="1">
    <w:p w14:paraId="0A604434" w14:textId="21E4DF94" w:rsidR="00F50388" w:rsidRDefault="00F503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A03640">
          <w:rPr>
            <w:rStyle w:val="Hypertextovprepojenie"/>
            <w:rFonts w:ascii="Arial Narrow" w:hAnsi="Arial Narrow"/>
          </w:rPr>
          <w:t>https://www.eurofondy.gov.sk/index.html</w:t>
        </w:r>
      </w:hyperlink>
      <w:r>
        <w:rPr>
          <w:rFonts w:ascii="Arial Narrow" w:hAnsi="Arial Narrow"/>
        </w:rPr>
        <w:t xml:space="preserve"> </w:t>
      </w:r>
    </w:p>
  </w:footnote>
  <w:footnote w:id="2">
    <w:p w14:paraId="22933411" w14:textId="24E6DD48" w:rsidR="00BC321E" w:rsidRDefault="00BC321E" w:rsidP="00BC32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 w:rsidR="00DA6B0F">
        <w:rPr>
          <w:rFonts w:ascii="Arial Narrow" w:hAnsi="Arial Narrow"/>
        </w:rPr>
        <w:t xml:space="preserve">môžu byť </w:t>
      </w:r>
      <w:r w:rsidR="00CC2E3C"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 w:rsidR="00CC2E3C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 w:rsidR="00CC2E3C"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kritérií použitých pre výber projektov</w:t>
      </w:r>
      <w:r>
        <w:rPr>
          <w:rFonts w:ascii="Arial Narrow" w:hAnsi="Arial Narrow"/>
        </w:rPr>
        <w:t>“</w:t>
      </w:r>
      <w:r w:rsidR="00EE694F">
        <w:rPr>
          <w:rFonts w:ascii="Arial Narrow" w:hAnsi="Arial Narrow"/>
        </w:rPr>
        <w:t>.</w:t>
      </w:r>
      <w:r w:rsidR="00CC2E3C">
        <w:rPr>
          <w:rFonts w:ascii="Arial Narrow" w:hAnsi="Arial Narrow"/>
        </w:rPr>
        <w:t xml:space="preserve"> </w:t>
      </w:r>
    </w:p>
  </w:footnote>
  <w:footnote w:id="3">
    <w:p w14:paraId="51004352" w14:textId="35C5CE5A" w:rsidR="00CB4106" w:rsidRDefault="00CB4106" w:rsidP="00CB41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B6A16">
        <w:rPr>
          <w:rFonts w:ascii="Arial Narrow" w:hAnsi="Arial Narrow"/>
        </w:rPr>
        <w:t xml:space="preserve">Ministerstvo investícií, regionálneho rozvoja a informatizácie Slovenskej republiky na základe </w:t>
      </w:r>
      <w:r>
        <w:rPr>
          <w:rFonts w:ascii="Arial Narrow" w:hAnsi="Arial Narrow"/>
        </w:rPr>
        <w:t>U</w:t>
      </w:r>
      <w:r w:rsidRPr="005B6A16">
        <w:rPr>
          <w:rFonts w:ascii="Arial Narrow" w:hAnsi="Arial Narrow"/>
        </w:rPr>
        <w:t>zn</w:t>
      </w:r>
      <w:r>
        <w:rPr>
          <w:rFonts w:ascii="Arial Narrow" w:hAnsi="Arial Narrow"/>
        </w:rPr>
        <w:t>e</w:t>
      </w:r>
      <w:r w:rsidRPr="005B6A16">
        <w:rPr>
          <w:rFonts w:ascii="Arial Narrow" w:hAnsi="Arial Narrow"/>
        </w:rPr>
        <w:t>senia vlá</w:t>
      </w:r>
      <w:r>
        <w:rPr>
          <w:rFonts w:ascii="Arial Narrow" w:hAnsi="Arial Narrow"/>
        </w:rPr>
        <w:t>d</w:t>
      </w:r>
      <w:r w:rsidRPr="005B6A16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č. 329/2020 Z. z. </w:t>
      </w:r>
    </w:p>
  </w:footnote>
  <w:footnote w:id="4">
    <w:p w14:paraId="222F0D8D" w14:textId="302EA4C4" w:rsidR="00E5615E" w:rsidRDefault="00E5615E">
      <w:pPr>
        <w:pStyle w:val="Textpoznmkypodiarou"/>
      </w:pPr>
      <w:r>
        <w:rPr>
          <w:rStyle w:val="Odkaznapoznmkupodiarou"/>
        </w:rPr>
        <w:footnoteRef/>
      </w:r>
      <w:r w:rsidRPr="00CE4916">
        <w:rPr>
          <w:rFonts w:ascii="Arial Narrow" w:hAnsi="Arial Narrow"/>
        </w:rPr>
        <w:t xml:space="preserve"> </w:t>
      </w:r>
      <w:hyperlink r:id="rId2" w:history="1">
        <w:r w:rsidR="00792BB9" w:rsidRPr="00627136">
          <w:rPr>
            <w:rStyle w:val="Hypertextovprepojenie"/>
            <w:rFonts w:ascii="Arial Narrow" w:hAnsi="Arial Narrow"/>
          </w:rPr>
          <w:t>https://www.mirri.gov.sk/sekcie/investicie/strategia-vyskumu-a-inovacii-pre-inteligentnu-specializaciu-sr/index.html</w:t>
        </w:r>
      </w:hyperlink>
      <w:r w:rsidR="00792BB9">
        <w:rPr>
          <w:rFonts w:ascii="Arial Narrow" w:hAnsi="Arial Narrow"/>
        </w:rPr>
        <w:t xml:space="preserve"> </w:t>
      </w:r>
    </w:p>
  </w:footnote>
  <w:footnote w:id="5">
    <w:p w14:paraId="15D58977" w14:textId="3FB45139" w:rsidR="0014583F" w:rsidRPr="00CE4916" w:rsidRDefault="0014583F">
      <w:pPr>
        <w:pStyle w:val="Textpoznmkypodiarou"/>
        <w:rPr>
          <w:rFonts w:ascii="Arial Narrow" w:hAnsi="Arial Narrow"/>
        </w:rPr>
      </w:pPr>
      <w:r w:rsidRPr="00CE4916">
        <w:rPr>
          <w:rStyle w:val="Odkaznapoznmkupodiarou"/>
          <w:rFonts w:ascii="Arial Narrow" w:hAnsi="Arial Narrow"/>
        </w:rPr>
        <w:footnoteRef/>
      </w:r>
      <w:r w:rsidRPr="00CE4916">
        <w:rPr>
          <w:rFonts w:ascii="Arial Narrow" w:hAnsi="Arial Narrow"/>
        </w:rPr>
        <w:t xml:space="preserve"> </w:t>
      </w:r>
      <w:r w:rsidR="00E75A52" w:rsidRPr="00E75A52">
        <w:rPr>
          <w:rFonts w:ascii="Arial Narrow" w:hAnsi="Arial Narrow"/>
        </w:rPr>
        <w:t>https://www.eurofondy.gov.sk/dokumenty-a-publikacie/dokumenty/</w:t>
      </w:r>
      <w:r w:rsidR="00E75A52">
        <w:rPr>
          <w:rFonts w:ascii="Arial Narrow" w:hAnsi="Arial Narrow"/>
        </w:rPr>
        <w:t xml:space="preserve"> (</w:t>
      </w:r>
      <w:r w:rsidR="00E75A52" w:rsidRPr="00E75A52">
        <w:rPr>
          <w:rFonts w:ascii="Arial Narrow" w:hAnsi="Arial Narrow"/>
        </w:rPr>
        <w:t>https://www.eurofondy.gov.sk/wp-content/uploads/2022/07/220713_SK_Partnersk%C3%A1-dohoda-SR_21_27_do-SFC.pdf</w:t>
      </w:r>
      <w:r w:rsidR="00E75A52">
        <w:rPr>
          <w:rFonts w:ascii="Arial Narrow" w:hAnsi="Arial Narrow"/>
        </w:rPr>
        <w:t>)</w:t>
      </w:r>
    </w:p>
  </w:footnote>
  <w:footnote w:id="6">
    <w:p w14:paraId="14F65884" w14:textId="5628D9AE" w:rsidR="0014583F" w:rsidRPr="00CE4916" w:rsidRDefault="0014583F" w:rsidP="0014583F">
      <w:pPr>
        <w:pStyle w:val="Textpoznmkypodiarou"/>
      </w:pPr>
      <w:r w:rsidRPr="00CE4916">
        <w:rPr>
          <w:rStyle w:val="Odkaznapoznmkupodiarou"/>
          <w:rFonts w:ascii="Arial Narrow" w:hAnsi="Arial Narrow"/>
        </w:rPr>
        <w:footnoteRef/>
      </w:r>
      <w:r w:rsidRPr="00CE4916">
        <w:rPr>
          <w:rFonts w:ascii="Arial Narrow" w:hAnsi="Arial Narrow"/>
        </w:rPr>
        <w:t xml:space="preserve"> </w:t>
      </w:r>
      <w:hyperlink r:id="rId3" w:history="1">
        <w:r w:rsidR="001D63EF" w:rsidRPr="00DC1BEB">
          <w:rPr>
            <w:rStyle w:val="Hypertextovprepojenie"/>
            <w:rFonts w:ascii="Arial Narrow" w:hAnsi="Arial Narrow"/>
          </w:rPr>
          <w:t>https://www.mirri.gov.sk/sekcie/informatizacia/narodna-koncepcia-informatizacie-verejnej-spravy-nikvs/</w:t>
        </w:r>
      </w:hyperlink>
      <w:r w:rsidR="001D63EF">
        <w:rPr>
          <w:rFonts w:ascii="Arial Narrow" w:hAnsi="Arial Narrow"/>
        </w:rPr>
        <w:t xml:space="preserve"> </w:t>
      </w:r>
    </w:p>
  </w:footnote>
  <w:footnote w:id="7">
    <w:p w14:paraId="660C144E" w14:textId="761328F7" w:rsidR="00907739" w:rsidRDefault="00907739">
      <w:pPr>
        <w:pStyle w:val="Textpoznmkypodiarou"/>
      </w:pPr>
      <w:r w:rsidRPr="00CE4916">
        <w:rPr>
          <w:rStyle w:val="Odkaznapoznmkupodiarou"/>
        </w:rPr>
        <w:footnoteRef/>
      </w:r>
      <w:r w:rsidRPr="00CE4916">
        <w:t xml:space="preserve"> </w:t>
      </w:r>
      <w:hyperlink r:id="rId4" w:history="1">
        <w:r w:rsidRPr="00CE4916">
          <w:rPr>
            <w:rStyle w:val="Hypertextovprepojenie"/>
            <w:rFonts w:ascii="Arial Narrow" w:hAnsi="Arial Narrow"/>
          </w:rPr>
          <w:t>https://www.mirri.gov.sk/sekcie/investicie/strategia-vyskumu-a-inovacii-pre-inteligentnu-specializaciu-sr/index.html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811D" w14:textId="2EBA341D" w:rsidR="0058445C" w:rsidRDefault="0058445C" w:rsidP="0058445C">
    <w:pPr>
      <w:pStyle w:val="Hlavika"/>
      <w:ind w:left="-709" w:right="-995"/>
      <w:jc w:val="center"/>
      <w:rPr>
        <w:rFonts w:ascii="Calibri" w:eastAsia="Calibri" w:hAnsi="Calibri" w:cs="Times New Roman"/>
        <w:noProof/>
        <w:lang w:eastAsia="sk-SK"/>
      </w:rPr>
    </w:pPr>
    <w:r>
      <w:rPr>
        <w:noProof/>
        <w:lang w:eastAsia="sk-SK"/>
      </w:rPr>
      <w:drawing>
        <wp:inline distT="0" distB="0" distL="0" distR="0" wp14:anchorId="04D9F2E9" wp14:editId="197186D3">
          <wp:extent cx="2315845" cy="487045"/>
          <wp:effectExtent l="0" t="0" r="0" b="8255"/>
          <wp:docPr id="3" name="Obrázok 3" descr="SK Financovaný Európskou úniou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" descr="SK Financovaný Európskou úniou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      </w:t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38487F48" wp14:editId="5602AF30">
          <wp:extent cx="1911985" cy="427355"/>
          <wp:effectExtent l="0" t="0" r="0" b="0"/>
          <wp:docPr id="2" name="Obrázok 2" descr="PS-logo_podlhova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3" descr="PS-logo_podlhovas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18"/>
        <w:szCs w:val="18"/>
        <w:lang w:eastAsia="sk-SK"/>
      </w:rPr>
      <w:t xml:space="preserve">                     </w:t>
    </w:r>
    <w:r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5047AE31" wp14:editId="472B3406">
          <wp:extent cx="1876425" cy="427355"/>
          <wp:effectExtent l="0" t="0" r="9525" b="0"/>
          <wp:docPr id="1" name="Obrázok 1" descr="logomi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5" descr="logomir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02448" w14:textId="77777777" w:rsidR="0058445C" w:rsidRDefault="0058445C" w:rsidP="0058445C">
    <w:pPr>
      <w:pStyle w:val="Hlavika"/>
    </w:pPr>
  </w:p>
  <w:p w14:paraId="727BE949" w14:textId="66706A9D" w:rsidR="00900A28" w:rsidRPr="0058445C" w:rsidRDefault="00900A28" w:rsidP="005844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4BC"/>
    <w:multiLevelType w:val="hybridMultilevel"/>
    <w:tmpl w:val="F7729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5914E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5565"/>
    <w:multiLevelType w:val="hybridMultilevel"/>
    <w:tmpl w:val="B492C0C2"/>
    <w:lvl w:ilvl="0" w:tplc="B246D3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D891CFA"/>
    <w:multiLevelType w:val="hybridMultilevel"/>
    <w:tmpl w:val="4DE82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62ED"/>
    <w:multiLevelType w:val="hybridMultilevel"/>
    <w:tmpl w:val="C03C6EB4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42911"/>
    <w:multiLevelType w:val="hybridMultilevel"/>
    <w:tmpl w:val="A51E1AE0"/>
    <w:lvl w:ilvl="0" w:tplc="7A56AC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3471"/>
    <w:multiLevelType w:val="hybridMultilevel"/>
    <w:tmpl w:val="3CD655BA"/>
    <w:lvl w:ilvl="0" w:tplc="75802F7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623B"/>
    <w:multiLevelType w:val="hybridMultilevel"/>
    <w:tmpl w:val="76BED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A66"/>
    <w:multiLevelType w:val="hybridMultilevel"/>
    <w:tmpl w:val="A80E8C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2B5E"/>
    <w:multiLevelType w:val="hybridMultilevel"/>
    <w:tmpl w:val="917EF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50E5F"/>
    <w:multiLevelType w:val="hybridMultilevel"/>
    <w:tmpl w:val="37FABA92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550"/>
    <w:multiLevelType w:val="hybridMultilevel"/>
    <w:tmpl w:val="5CA6A7E6"/>
    <w:lvl w:ilvl="0" w:tplc="75802F7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E0B3A"/>
    <w:multiLevelType w:val="hybridMultilevel"/>
    <w:tmpl w:val="CB145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05EC6"/>
    <w:multiLevelType w:val="hybridMultilevel"/>
    <w:tmpl w:val="39C6DEA2"/>
    <w:lvl w:ilvl="0" w:tplc="884AFD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D5E"/>
    <w:multiLevelType w:val="hybridMultilevel"/>
    <w:tmpl w:val="4976C6C4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DB5308"/>
    <w:multiLevelType w:val="hybridMultilevel"/>
    <w:tmpl w:val="10DC442C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81D96"/>
    <w:multiLevelType w:val="hybridMultilevel"/>
    <w:tmpl w:val="94E45B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39"/>
  </w:num>
  <w:num w:numId="5">
    <w:abstractNumId w:val="40"/>
  </w:num>
  <w:num w:numId="6">
    <w:abstractNumId w:val="8"/>
  </w:num>
  <w:num w:numId="7">
    <w:abstractNumId w:val="37"/>
  </w:num>
  <w:num w:numId="8">
    <w:abstractNumId w:val="13"/>
  </w:num>
  <w:num w:numId="9">
    <w:abstractNumId w:val="14"/>
  </w:num>
  <w:num w:numId="10">
    <w:abstractNumId w:val="5"/>
  </w:num>
  <w:num w:numId="11">
    <w:abstractNumId w:val="23"/>
  </w:num>
  <w:num w:numId="12">
    <w:abstractNumId w:val="19"/>
  </w:num>
  <w:num w:numId="13">
    <w:abstractNumId w:val="36"/>
  </w:num>
  <w:num w:numId="14">
    <w:abstractNumId w:val="27"/>
  </w:num>
  <w:num w:numId="15">
    <w:abstractNumId w:val="16"/>
  </w:num>
  <w:num w:numId="16">
    <w:abstractNumId w:val="12"/>
  </w:num>
  <w:num w:numId="17">
    <w:abstractNumId w:val="25"/>
  </w:num>
  <w:num w:numId="18">
    <w:abstractNumId w:val="38"/>
  </w:num>
  <w:num w:numId="19">
    <w:abstractNumId w:val="34"/>
  </w:num>
  <w:num w:numId="20">
    <w:abstractNumId w:val="3"/>
  </w:num>
  <w:num w:numId="21">
    <w:abstractNumId w:val="2"/>
  </w:num>
  <w:num w:numId="22">
    <w:abstractNumId w:val="42"/>
  </w:num>
  <w:num w:numId="23">
    <w:abstractNumId w:val="7"/>
  </w:num>
  <w:num w:numId="24">
    <w:abstractNumId w:val="42"/>
  </w:num>
  <w:num w:numId="25">
    <w:abstractNumId w:val="2"/>
  </w:num>
  <w:num w:numId="26">
    <w:abstractNumId w:val="7"/>
  </w:num>
  <w:num w:numId="27">
    <w:abstractNumId w:val="6"/>
  </w:num>
  <w:num w:numId="28">
    <w:abstractNumId w:val="35"/>
  </w:num>
  <w:num w:numId="29">
    <w:abstractNumId w:val="32"/>
  </w:num>
  <w:num w:numId="30">
    <w:abstractNumId w:val="41"/>
  </w:num>
  <w:num w:numId="31">
    <w:abstractNumId w:val="28"/>
  </w:num>
  <w:num w:numId="32">
    <w:abstractNumId w:val="22"/>
  </w:num>
  <w:num w:numId="33">
    <w:abstractNumId w:val="33"/>
  </w:num>
  <w:num w:numId="34">
    <w:abstractNumId w:val="29"/>
  </w:num>
  <w:num w:numId="35">
    <w:abstractNumId w:val="26"/>
  </w:num>
  <w:num w:numId="36">
    <w:abstractNumId w:val="11"/>
  </w:num>
  <w:num w:numId="37">
    <w:abstractNumId w:val="31"/>
  </w:num>
  <w:num w:numId="38">
    <w:abstractNumId w:val="30"/>
  </w:num>
  <w:num w:numId="39">
    <w:abstractNumId w:val="24"/>
  </w:num>
  <w:num w:numId="40">
    <w:abstractNumId w:val="1"/>
  </w:num>
  <w:num w:numId="41">
    <w:abstractNumId w:val="17"/>
  </w:num>
  <w:num w:numId="42">
    <w:abstractNumId w:val="20"/>
  </w:num>
  <w:num w:numId="43">
    <w:abstractNumId w:val="43"/>
  </w:num>
  <w:num w:numId="44">
    <w:abstractNumId w:val="15"/>
  </w:num>
  <w:num w:numId="45">
    <w:abstractNumId w:val="9"/>
  </w:num>
  <w:num w:numId="46">
    <w:abstractNumId w:val="1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4D25"/>
    <w:rsid w:val="000074F8"/>
    <w:rsid w:val="000079A8"/>
    <w:rsid w:val="00007E4C"/>
    <w:rsid w:val="00010A91"/>
    <w:rsid w:val="00011649"/>
    <w:rsid w:val="0001325E"/>
    <w:rsid w:val="000143D8"/>
    <w:rsid w:val="00014979"/>
    <w:rsid w:val="0001588A"/>
    <w:rsid w:val="0001660D"/>
    <w:rsid w:val="000166D8"/>
    <w:rsid w:val="000213D4"/>
    <w:rsid w:val="0002200D"/>
    <w:rsid w:val="00023644"/>
    <w:rsid w:val="00023B1F"/>
    <w:rsid w:val="0002506C"/>
    <w:rsid w:val="00027084"/>
    <w:rsid w:val="00032EAB"/>
    <w:rsid w:val="00033031"/>
    <w:rsid w:val="000346F8"/>
    <w:rsid w:val="0003655E"/>
    <w:rsid w:val="00040728"/>
    <w:rsid w:val="00043650"/>
    <w:rsid w:val="000466C5"/>
    <w:rsid w:val="00050069"/>
    <w:rsid w:val="0005057D"/>
    <w:rsid w:val="00053DF4"/>
    <w:rsid w:val="00055A2D"/>
    <w:rsid w:val="000579E5"/>
    <w:rsid w:val="00060DE2"/>
    <w:rsid w:val="00063B5B"/>
    <w:rsid w:val="0006402A"/>
    <w:rsid w:val="00064093"/>
    <w:rsid w:val="00066478"/>
    <w:rsid w:val="00066F7E"/>
    <w:rsid w:val="00067A71"/>
    <w:rsid w:val="00067FFE"/>
    <w:rsid w:val="00071E45"/>
    <w:rsid w:val="000720CC"/>
    <w:rsid w:val="00072E07"/>
    <w:rsid w:val="0007302B"/>
    <w:rsid w:val="00073386"/>
    <w:rsid w:val="00077913"/>
    <w:rsid w:val="0008016F"/>
    <w:rsid w:val="0008224F"/>
    <w:rsid w:val="00086CF2"/>
    <w:rsid w:val="0008777E"/>
    <w:rsid w:val="00091FCA"/>
    <w:rsid w:val="000933BD"/>
    <w:rsid w:val="000944CC"/>
    <w:rsid w:val="00094552"/>
    <w:rsid w:val="000956D6"/>
    <w:rsid w:val="00097647"/>
    <w:rsid w:val="000A1944"/>
    <w:rsid w:val="000A2E58"/>
    <w:rsid w:val="000A5118"/>
    <w:rsid w:val="000A74C2"/>
    <w:rsid w:val="000A7A36"/>
    <w:rsid w:val="000B046D"/>
    <w:rsid w:val="000B1F02"/>
    <w:rsid w:val="000B271E"/>
    <w:rsid w:val="000B32CB"/>
    <w:rsid w:val="000B3549"/>
    <w:rsid w:val="000B38D8"/>
    <w:rsid w:val="000B61D8"/>
    <w:rsid w:val="000B64B3"/>
    <w:rsid w:val="000C0810"/>
    <w:rsid w:val="000C159E"/>
    <w:rsid w:val="000C54F9"/>
    <w:rsid w:val="000C7A67"/>
    <w:rsid w:val="000D28B0"/>
    <w:rsid w:val="000D3F5F"/>
    <w:rsid w:val="000D6B13"/>
    <w:rsid w:val="000E2F43"/>
    <w:rsid w:val="000E47C9"/>
    <w:rsid w:val="000E4973"/>
    <w:rsid w:val="000F067F"/>
    <w:rsid w:val="000F1331"/>
    <w:rsid w:val="00107DC2"/>
    <w:rsid w:val="0011209D"/>
    <w:rsid w:val="00112DDE"/>
    <w:rsid w:val="00112E50"/>
    <w:rsid w:val="001140EA"/>
    <w:rsid w:val="00114339"/>
    <w:rsid w:val="00116456"/>
    <w:rsid w:val="00120081"/>
    <w:rsid w:val="001206CD"/>
    <w:rsid w:val="00120768"/>
    <w:rsid w:val="00121ED9"/>
    <w:rsid w:val="00122631"/>
    <w:rsid w:val="00122EF7"/>
    <w:rsid w:val="0012573E"/>
    <w:rsid w:val="00125D65"/>
    <w:rsid w:val="001266A0"/>
    <w:rsid w:val="0012785C"/>
    <w:rsid w:val="0013048D"/>
    <w:rsid w:val="0013495A"/>
    <w:rsid w:val="0013534B"/>
    <w:rsid w:val="0013600D"/>
    <w:rsid w:val="00142FD9"/>
    <w:rsid w:val="001445C0"/>
    <w:rsid w:val="0014583F"/>
    <w:rsid w:val="001464D5"/>
    <w:rsid w:val="001502C2"/>
    <w:rsid w:val="00150A1A"/>
    <w:rsid w:val="00150B3D"/>
    <w:rsid w:val="0015422F"/>
    <w:rsid w:val="001548DC"/>
    <w:rsid w:val="00160A59"/>
    <w:rsid w:val="00170C4D"/>
    <w:rsid w:val="00170DDE"/>
    <w:rsid w:val="001714EF"/>
    <w:rsid w:val="00173475"/>
    <w:rsid w:val="0017387F"/>
    <w:rsid w:val="001769BC"/>
    <w:rsid w:val="001816FF"/>
    <w:rsid w:val="00182222"/>
    <w:rsid w:val="001834B3"/>
    <w:rsid w:val="00184F74"/>
    <w:rsid w:val="0018641E"/>
    <w:rsid w:val="00186AB8"/>
    <w:rsid w:val="00187084"/>
    <w:rsid w:val="00187338"/>
    <w:rsid w:val="00187E8D"/>
    <w:rsid w:val="001908AE"/>
    <w:rsid w:val="00192A08"/>
    <w:rsid w:val="001A0BEE"/>
    <w:rsid w:val="001A24A8"/>
    <w:rsid w:val="001A2F8D"/>
    <w:rsid w:val="001A36FB"/>
    <w:rsid w:val="001A5E4F"/>
    <w:rsid w:val="001B3DF2"/>
    <w:rsid w:val="001B3ED7"/>
    <w:rsid w:val="001C000E"/>
    <w:rsid w:val="001C1F44"/>
    <w:rsid w:val="001C53AD"/>
    <w:rsid w:val="001C66E1"/>
    <w:rsid w:val="001C7563"/>
    <w:rsid w:val="001D0B8B"/>
    <w:rsid w:val="001D0E10"/>
    <w:rsid w:val="001D15EF"/>
    <w:rsid w:val="001D1854"/>
    <w:rsid w:val="001D1A22"/>
    <w:rsid w:val="001D63EF"/>
    <w:rsid w:val="001E10C6"/>
    <w:rsid w:val="001E6A35"/>
    <w:rsid w:val="001F0938"/>
    <w:rsid w:val="001F40A4"/>
    <w:rsid w:val="001F618A"/>
    <w:rsid w:val="002005B6"/>
    <w:rsid w:val="002028E6"/>
    <w:rsid w:val="00202906"/>
    <w:rsid w:val="00206A9C"/>
    <w:rsid w:val="00211DBE"/>
    <w:rsid w:val="00212F85"/>
    <w:rsid w:val="00213C02"/>
    <w:rsid w:val="00216DE1"/>
    <w:rsid w:val="00217790"/>
    <w:rsid w:val="00221D29"/>
    <w:rsid w:val="0022447A"/>
    <w:rsid w:val="00226709"/>
    <w:rsid w:val="00235D7A"/>
    <w:rsid w:val="00237713"/>
    <w:rsid w:val="00237B06"/>
    <w:rsid w:val="00237DA6"/>
    <w:rsid w:val="00240572"/>
    <w:rsid w:val="00240B10"/>
    <w:rsid w:val="002419C8"/>
    <w:rsid w:val="00241F1A"/>
    <w:rsid w:val="002456FD"/>
    <w:rsid w:val="002462D4"/>
    <w:rsid w:val="002477AE"/>
    <w:rsid w:val="0025168C"/>
    <w:rsid w:val="002526E6"/>
    <w:rsid w:val="00255483"/>
    <w:rsid w:val="00256580"/>
    <w:rsid w:val="002573C6"/>
    <w:rsid w:val="002573EA"/>
    <w:rsid w:val="00257B9A"/>
    <w:rsid w:val="00260B63"/>
    <w:rsid w:val="00262784"/>
    <w:rsid w:val="00264DCC"/>
    <w:rsid w:val="002664EC"/>
    <w:rsid w:val="0026684D"/>
    <w:rsid w:val="002701AB"/>
    <w:rsid w:val="00273A47"/>
    <w:rsid w:val="00275344"/>
    <w:rsid w:val="00275CCF"/>
    <w:rsid w:val="0027669C"/>
    <w:rsid w:val="00276C10"/>
    <w:rsid w:val="00281453"/>
    <w:rsid w:val="00281C01"/>
    <w:rsid w:val="0028704D"/>
    <w:rsid w:val="00293720"/>
    <w:rsid w:val="002942EF"/>
    <w:rsid w:val="00295AC2"/>
    <w:rsid w:val="00295F74"/>
    <w:rsid w:val="002968EE"/>
    <w:rsid w:val="00296F2B"/>
    <w:rsid w:val="00297E2A"/>
    <w:rsid w:val="002A0F60"/>
    <w:rsid w:val="002A2C37"/>
    <w:rsid w:val="002A4A08"/>
    <w:rsid w:val="002A7ABB"/>
    <w:rsid w:val="002B2A27"/>
    <w:rsid w:val="002B3A18"/>
    <w:rsid w:val="002B4BB6"/>
    <w:rsid w:val="002B5816"/>
    <w:rsid w:val="002B5ACF"/>
    <w:rsid w:val="002B7238"/>
    <w:rsid w:val="002B7D3A"/>
    <w:rsid w:val="002C06FE"/>
    <w:rsid w:val="002C1952"/>
    <w:rsid w:val="002C42E4"/>
    <w:rsid w:val="002C58C1"/>
    <w:rsid w:val="002C6CF7"/>
    <w:rsid w:val="002D0E71"/>
    <w:rsid w:val="002D3029"/>
    <w:rsid w:val="002D30EF"/>
    <w:rsid w:val="002D5412"/>
    <w:rsid w:val="002D56BC"/>
    <w:rsid w:val="002D65E5"/>
    <w:rsid w:val="002E14A5"/>
    <w:rsid w:val="002E24F1"/>
    <w:rsid w:val="002E29ED"/>
    <w:rsid w:val="002E4D51"/>
    <w:rsid w:val="002E7672"/>
    <w:rsid w:val="002E7AA3"/>
    <w:rsid w:val="002F07B1"/>
    <w:rsid w:val="002F1329"/>
    <w:rsid w:val="002F40AF"/>
    <w:rsid w:val="002F5C49"/>
    <w:rsid w:val="002F70FE"/>
    <w:rsid w:val="00300350"/>
    <w:rsid w:val="00300639"/>
    <w:rsid w:val="00300E44"/>
    <w:rsid w:val="003014A7"/>
    <w:rsid w:val="00303C57"/>
    <w:rsid w:val="00303C85"/>
    <w:rsid w:val="003056AD"/>
    <w:rsid w:val="00306FEF"/>
    <w:rsid w:val="00307EB6"/>
    <w:rsid w:val="003131D8"/>
    <w:rsid w:val="0031467F"/>
    <w:rsid w:val="0031563E"/>
    <w:rsid w:val="00315651"/>
    <w:rsid w:val="0031690C"/>
    <w:rsid w:val="00320798"/>
    <w:rsid w:val="003217EE"/>
    <w:rsid w:val="00322B2E"/>
    <w:rsid w:val="003247A0"/>
    <w:rsid w:val="00325032"/>
    <w:rsid w:val="003269E1"/>
    <w:rsid w:val="003275BE"/>
    <w:rsid w:val="0033172C"/>
    <w:rsid w:val="003320FE"/>
    <w:rsid w:val="00332619"/>
    <w:rsid w:val="00333D87"/>
    <w:rsid w:val="00336872"/>
    <w:rsid w:val="00342030"/>
    <w:rsid w:val="003429C1"/>
    <w:rsid w:val="00343C4B"/>
    <w:rsid w:val="0034591B"/>
    <w:rsid w:val="00347061"/>
    <w:rsid w:val="00347286"/>
    <w:rsid w:val="003509D1"/>
    <w:rsid w:val="00351DFF"/>
    <w:rsid w:val="00351E7A"/>
    <w:rsid w:val="00361036"/>
    <w:rsid w:val="003627FB"/>
    <w:rsid w:val="003631E5"/>
    <w:rsid w:val="00363243"/>
    <w:rsid w:val="00365365"/>
    <w:rsid w:val="00365AF1"/>
    <w:rsid w:val="00367E50"/>
    <w:rsid w:val="003734EE"/>
    <w:rsid w:val="003735F8"/>
    <w:rsid w:val="003751DB"/>
    <w:rsid w:val="003761E9"/>
    <w:rsid w:val="00376ABA"/>
    <w:rsid w:val="00376C81"/>
    <w:rsid w:val="00380BBC"/>
    <w:rsid w:val="00380C46"/>
    <w:rsid w:val="0038126D"/>
    <w:rsid w:val="00381A09"/>
    <w:rsid w:val="00384CF5"/>
    <w:rsid w:val="00384FFA"/>
    <w:rsid w:val="0038512E"/>
    <w:rsid w:val="00386033"/>
    <w:rsid w:val="00390BEE"/>
    <w:rsid w:val="00391BC9"/>
    <w:rsid w:val="00392C0B"/>
    <w:rsid w:val="00393DD9"/>
    <w:rsid w:val="003940A4"/>
    <w:rsid w:val="00396905"/>
    <w:rsid w:val="00397387"/>
    <w:rsid w:val="003A0131"/>
    <w:rsid w:val="003A0708"/>
    <w:rsid w:val="003A16B3"/>
    <w:rsid w:val="003A2126"/>
    <w:rsid w:val="003A26D2"/>
    <w:rsid w:val="003B2352"/>
    <w:rsid w:val="003B2376"/>
    <w:rsid w:val="003B32AA"/>
    <w:rsid w:val="003B43CE"/>
    <w:rsid w:val="003C0029"/>
    <w:rsid w:val="003C19C2"/>
    <w:rsid w:val="003C1E0A"/>
    <w:rsid w:val="003C3AA4"/>
    <w:rsid w:val="003C4A08"/>
    <w:rsid w:val="003C4EF8"/>
    <w:rsid w:val="003C52DC"/>
    <w:rsid w:val="003C6D55"/>
    <w:rsid w:val="003C7523"/>
    <w:rsid w:val="003C7A2D"/>
    <w:rsid w:val="003C7D82"/>
    <w:rsid w:val="003D558C"/>
    <w:rsid w:val="003D5FC2"/>
    <w:rsid w:val="003D6AF8"/>
    <w:rsid w:val="003E019C"/>
    <w:rsid w:val="003E01A4"/>
    <w:rsid w:val="003E1BA7"/>
    <w:rsid w:val="003E4BE5"/>
    <w:rsid w:val="003E555C"/>
    <w:rsid w:val="003E55DE"/>
    <w:rsid w:val="003E706F"/>
    <w:rsid w:val="003F175D"/>
    <w:rsid w:val="003F28D3"/>
    <w:rsid w:val="003F2E32"/>
    <w:rsid w:val="003F6C8E"/>
    <w:rsid w:val="003F749D"/>
    <w:rsid w:val="00401AB4"/>
    <w:rsid w:val="00402926"/>
    <w:rsid w:val="00403811"/>
    <w:rsid w:val="0040381B"/>
    <w:rsid w:val="00404055"/>
    <w:rsid w:val="004077F0"/>
    <w:rsid w:val="00410825"/>
    <w:rsid w:val="00411130"/>
    <w:rsid w:val="00412C46"/>
    <w:rsid w:val="00412FA0"/>
    <w:rsid w:val="00413E8F"/>
    <w:rsid w:val="00415A0F"/>
    <w:rsid w:val="0041687D"/>
    <w:rsid w:val="004204F1"/>
    <w:rsid w:val="004207A1"/>
    <w:rsid w:val="00420E07"/>
    <w:rsid w:val="00421100"/>
    <w:rsid w:val="004235BC"/>
    <w:rsid w:val="00425B49"/>
    <w:rsid w:val="004277B6"/>
    <w:rsid w:val="004303F6"/>
    <w:rsid w:val="004314A9"/>
    <w:rsid w:val="00437B87"/>
    <w:rsid w:val="00440986"/>
    <w:rsid w:val="00442D84"/>
    <w:rsid w:val="00444C2E"/>
    <w:rsid w:val="00444FCC"/>
    <w:rsid w:val="0044548E"/>
    <w:rsid w:val="00445684"/>
    <w:rsid w:val="00445704"/>
    <w:rsid w:val="004461BD"/>
    <w:rsid w:val="00447D47"/>
    <w:rsid w:val="00450852"/>
    <w:rsid w:val="00453BCE"/>
    <w:rsid w:val="00453E6F"/>
    <w:rsid w:val="00454BA6"/>
    <w:rsid w:val="00455599"/>
    <w:rsid w:val="004566D9"/>
    <w:rsid w:val="00457071"/>
    <w:rsid w:val="00460DA7"/>
    <w:rsid w:val="00461E72"/>
    <w:rsid w:val="00466376"/>
    <w:rsid w:val="0046662C"/>
    <w:rsid w:val="00467B03"/>
    <w:rsid w:val="00471ECF"/>
    <w:rsid w:val="004732D6"/>
    <w:rsid w:val="00474047"/>
    <w:rsid w:val="00480032"/>
    <w:rsid w:val="0048069B"/>
    <w:rsid w:val="00480D9F"/>
    <w:rsid w:val="004847D3"/>
    <w:rsid w:val="0049086C"/>
    <w:rsid w:val="00492C48"/>
    <w:rsid w:val="004933CE"/>
    <w:rsid w:val="00493914"/>
    <w:rsid w:val="00495768"/>
    <w:rsid w:val="0049731C"/>
    <w:rsid w:val="00497AA9"/>
    <w:rsid w:val="004A0759"/>
    <w:rsid w:val="004B085A"/>
    <w:rsid w:val="004B1177"/>
    <w:rsid w:val="004B31A8"/>
    <w:rsid w:val="004B5519"/>
    <w:rsid w:val="004B5B76"/>
    <w:rsid w:val="004B756D"/>
    <w:rsid w:val="004C15E4"/>
    <w:rsid w:val="004C222E"/>
    <w:rsid w:val="004C2866"/>
    <w:rsid w:val="004C301F"/>
    <w:rsid w:val="004D222E"/>
    <w:rsid w:val="004D366A"/>
    <w:rsid w:val="004D4DF6"/>
    <w:rsid w:val="004D655B"/>
    <w:rsid w:val="004D783F"/>
    <w:rsid w:val="004E0F21"/>
    <w:rsid w:val="004E155C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3F38"/>
    <w:rsid w:val="00504909"/>
    <w:rsid w:val="00505670"/>
    <w:rsid w:val="0050633F"/>
    <w:rsid w:val="00506683"/>
    <w:rsid w:val="0051226C"/>
    <w:rsid w:val="00513559"/>
    <w:rsid w:val="00514B81"/>
    <w:rsid w:val="00516253"/>
    <w:rsid w:val="0051771A"/>
    <w:rsid w:val="00524308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2F06"/>
    <w:rsid w:val="0054484D"/>
    <w:rsid w:val="005453CA"/>
    <w:rsid w:val="0054560E"/>
    <w:rsid w:val="00546604"/>
    <w:rsid w:val="00550517"/>
    <w:rsid w:val="00550D12"/>
    <w:rsid w:val="005525F4"/>
    <w:rsid w:val="00555456"/>
    <w:rsid w:val="00560C06"/>
    <w:rsid w:val="00561444"/>
    <w:rsid w:val="00563B91"/>
    <w:rsid w:val="00564DB5"/>
    <w:rsid w:val="0057380A"/>
    <w:rsid w:val="00573A8A"/>
    <w:rsid w:val="0057652E"/>
    <w:rsid w:val="0057752F"/>
    <w:rsid w:val="00581870"/>
    <w:rsid w:val="00581A45"/>
    <w:rsid w:val="00581C5F"/>
    <w:rsid w:val="00582FCE"/>
    <w:rsid w:val="0058445C"/>
    <w:rsid w:val="0058779E"/>
    <w:rsid w:val="0059029E"/>
    <w:rsid w:val="00591D65"/>
    <w:rsid w:val="0059209D"/>
    <w:rsid w:val="005937D6"/>
    <w:rsid w:val="00593BC5"/>
    <w:rsid w:val="0059503F"/>
    <w:rsid w:val="0059573D"/>
    <w:rsid w:val="0059586E"/>
    <w:rsid w:val="00595B20"/>
    <w:rsid w:val="00596408"/>
    <w:rsid w:val="0059761F"/>
    <w:rsid w:val="005A2A5C"/>
    <w:rsid w:val="005A6124"/>
    <w:rsid w:val="005A6C30"/>
    <w:rsid w:val="005A6CA9"/>
    <w:rsid w:val="005A793B"/>
    <w:rsid w:val="005B1EA3"/>
    <w:rsid w:val="005B3219"/>
    <w:rsid w:val="005B3578"/>
    <w:rsid w:val="005B48AF"/>
    <w:rsid w:val="005B61FE"/>
    <w:rsid w:val="005B7014"/>
    <w:rsid w:val="005C0D61"/>
    <w:rsid w:val="005C1D17"/>
    <w:rsid w:val="005C3C6B"/>
    <w:rsid w:val="005C46F2"/>
    <w:rsid w:val="005C5318"/>
    <w:rsid w:val="005C7365"/>
    <w:rsid w:val="005D281E"/>
    <w:rsid w:val="005D3A49"/>
    <w:rsid w:val="005D3DB5"/>
    <w:rsid w:val="005D6275"/>
    <w:rsid w:val="005E071B"/>
    <w:rsid w:val="005E19EB"/>
    <w:rsid w:val="005E47A1"/>
    <w:rsid w:val="005E5F54"/>
    <w:rsid w:val="005E73AB"/>
    <w:rsid w:val="005F092D"/>
    <w:rsid w:val="005F0B39"/>
    <w:rsid w:val="005F10A6"/>
    <w:rsid w:val="005F26DB"/>
    <w:rsid w:val="005F2C4C"/>
    <w:rsid w:val="005F54AD"/>
    <w:rsid w:val="005F5FAF"/>
    <w:rsid w:val="005F6228"/>
    <w:rsid w:val="00600B81"/>
    <w:rsid w:val="0060370F"/>
    <w:rsid w:val="006051BA"/>
    <w:rsid w:val="00610062"/>
    <w:rsid w:val="00611A9C"/>
    <w:rsid w:val="0061310C"/>
    <w:rsid w:val="00614351"/>
    <w:rsid w:val="00615FFC"/>
    <w:rsid w:val="00616F33"/>
    <w:rsid w:val="00621733"/>
    <w:rsid w:val="0062463B"/>
    <w:rsid w:val="00625817"/>
    <w:rsid w:val="0063370D"/>
    <w:rsid w:val="00633936"/>
    <w:rsid w:val="00633BC1"/>
    <w:rsid w:val="00634BE9"/>
    <w:rsid w:val="00634C65"/>
    <w:rsid w:val="0063565C"/>
    <w:rsid w:val="00637CBC"/>
    <w:rsid w:val="00637D4D"/>
    <w:rsid w:val="00640598"/>
    <w:rsid w:val="00643048"/>
    <w:rsid w:val="0064304C"/>
    <w:rsid w:val="006436E8"/>
    <w:rsid w:val="006447D5"/>
    <w:rsid w:val="00647DA7"/>
    <w:rsid w:val="00651070"/>
    <w:rsid w:val="006538FB"/>
    <w:rsid w:val="00654A78"/>
    <w:rsid w:val="0065586B"/>
    <w:rsid w:val="00656A72"/>
    <w:rsid w:val="00657ECD"/>
    <w:rsid w:val="00657F4B"/>
    <w:rsid w:val="00661AF6"/>
    <w:rsid w:val="006623E1"/>
    <w:rsid w:val="0066344F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853EC"/>
    <w:rsid w:val="00691593"/>
    <w:rsid w:val="006A0312"/>
    <w:rsid w:val="006A1699"/>
    <w:rsid w:val="006A373F"/>
    <w:rsid w:val="006B000A"/>
    <w:rsid w:val="006B04F3"/>
    <w:rsid w:val="006B396B"/>
    <w:rsid w:val="006B3FDE"/>
    <w:rsid w:val="006B53D9"/>
    <w:rsid w:val="006B58E1"/>
    <w:rsid w:val="006B6303"/>
    <w:rsid w:val="006B6395"/>
    <w:rsid w:val="006C0E70"/>
    <w:rsid w:val="006C2958"/>
    <w:rsid w:val="006C2CCE"/>
    <w:rsid w:val="006C38A1"/>
    <w:rsid w:val="006C5BBE"/>
    <w:rsid w:val="006D2E90"/>
    <w:rsid w:val="006D30E9"/>
    <w:rsid w:val="006D4CDB"/>
    <w:rsid w:val="006E19BA"/>
    <w:rsid w:val="006E2422"/>
    <w:rsid w:val="006E30DE"/>
    <w:rsid w:val="006E3736"/>
    <w:rsid w:val="006E3A63"/>
    <w:rsid w:val="006E526B"/>
    <w:rsid w:val="006E553D"/>
    <w:rsid w:val="006E6036"/>
    <w:rsid w:val="006E6597"/>
    <w:rsid w:val="006E67EF"/>
    <w:rsid w:val="006F0D0A"/>
    <w:rsid w:val="006F242F"/>
    <w:rsid w:val="006F283B"/>
    <w:rsid w:val="006F6E4B"/>
    <w:rsid w:val="006F757D"/>
    <w:rsid w:val="00700882"/>
    <w:rsid w:val="0070122D"/>
    <w:rsid w:val="00702081"/>
    <w:rsid w:val="00702DC2"/>
    <w:rsid w:val="0070347D"/>
    <w:rsid w:val="00703BAB"/>
    <w:rsid w:val="007046F0"/>
    <w:rsid w:val="00707263"/>
    <w:rsid w:val="00715515"/>
    <w:rsid w:val="00715E12"/>
    <w:rsid w:val="00715F66"/>
    <w:rsid w:val="00717A6A"/>
    <w:rsid w:val="00720FFF"/>
    <w:rsid w:val="00724D81"/>
    <w:rsid w:val="00731B58"/>
    <w:rsid w:val="00736B1F"/>
    <w:rsid w:val="00737FE6"/>
    <w:rsid w:val="00740CA8"/>
    <w:rsid w:val="00742BB7"/>
    <w:rsid w:val="007454A3"/>
    <w:rsid w:val="00747198"/>
    <w:rsid w:val="0075035F"/>
    <w:rsid w:val="0075185F"/>
    <w:rsid w:val="00751E28"/>
    <w:rsid w:val="0075214A"/>
    <w:rsid w:val="00755505"/>
    <w:rsid w:val="00756D53"/>
    <w:rsid w:val="0076155E"/>
    <w:rsid w:val="00763F34"/>
    <w:rsid w:val="00767508"/>
    <w:rsid w:val="00770176"/>
    <w:rsid w:val="00771679"/>
    <w:rsid w:val="00772735"/>
    <w:rsid w:val="00772FF1"/>
    <w:rsid w:val="007731B9"/>
    <w:rsid w:val="00773281"/>
    <w:rsid w:val="007735BD"/>
    <w:rsid w:val="0077427B"/>
    <w:rsid w:val="00774D1F"/>
    <w:rsid w:val="00775650"/>
    <w:rsid w:val="00776E20"/>
    <w:rsid w:val="0078026B"/>
    <w:rsid w:val="0078128F"/>
    <w:rsid w:val="00781E9F"/>
    <w:rsid w:val="00786AC8"/>
    <w:rsid w:val="00792BB9"/>
    <w:rsid w:val="007953A8"/>
    <w:rsid w:val="00795C5E"/>
    <w:rsid w:val="00796C4D"/>
    <w:rsid w:val="00796DC9"/>
    <w:rsid w:val="007A009A"/>
    <w:rsid w:val="007A0486"/>
    <w:rsid w:val="007A21D8"/>
    <w:rsid w:val="007A3934"/>
    <w:rsid w:val="007A4156"/>
    <w:rsid w:val="007A6B63"/>
    <w:rsid w:val="007A6E45"/>
    <w:rsid w:val="007B1085"/>
    <w:rsid w:val="007B18ED"/>
    <w:rsid w:val="007B39BB"/>
    <w:rsid w:val="007B6B36"/>
    <w:rsid w:val="007B778B"/>
    <w:rsid w:val="007C1668"/>
    <w:rsid w:val="007C416E"/>
    <w:rsid w:val="007C54B0"/>
    <w:rsid w:val="007C6F8F"/>
    <w:rsid w:val="007D05DA"/>
    <w:rsid w:val="007D2241"/>
    <w:rsid w:val="007D36FA"/>
    <w:rsid w:val="007D4034"/>
    <w:rsid w:val="007D4C56"/>
    <w:rsid w:val="007D4EEE"/>
    <w:rsid w:val="007D57FE"/>
    <w:rsid w:val="007D5E49"/>
    <w:rsid w:val="007D7DF5"/>
    <w:rsid w:val="007D7EEC"/>
    <w:rsid w:val="007E0D53"/>
    <w:rsid w:val="007E2F96"/>
    <w:rsid w:val="007E35A8"/>
    <w:rsid w:val="007E53D1"/>
    <w:rsid w:val="007E5903"/>
    <w:rsid w:val="007E5F48"/>
    <w:rsid w:val="007E6F49"/>
    <w:rsid w:val="007E72B6"/>
    <w:rsid w:val="007E7DF9"/>
    <w:rsid w:val="007F0B69"/>
    <w:rsid w:val="007F0DEE"/>
    <w:rsid w:val="007F4600"/>
    <w:rsid w:val="007F5293"/>
    <w:rsid w:val="007F6B76"/>
    <w:rsid w:val="00801F34"/>
    <w:rsid w:val="008028EA"/>
    <w:rsid w:val="00802B73"/>
    <w:rsid w:val="00805D7F"/>
    <w:rsid w:val="00807797"/>
    <w:rsid w:val="00813D9C"/>
    <w:rsid w:val="00814959"/>
    <w:rsid w:val="00815F8F"/>
    <w:rsid w:val="00816151"/>
    <w:rsid w:val="0082283C"/>
    <w:rsid w:val="00823447"/>
    <w:rsid w:val="00823E50"/>
    <w:rsid w:val="0082565A"/>
    <w:rsid w:val="008258C4"/>
    <w:rsid w:val="00827943"/>
    <w:rsid w:val="0083083B"/>
    <w:rsid w:val="00834CB0"/>
    <w:rsid w:val="00834FA7"/>
    <w:rsid w:val="008351C2"/>
    <w:rsid w:val="00835606"/>
    <w:rsid w:val="00836214"/>
    <w:rsid w:val="008375BA"/>
    <w:rsid w:val="008410AE"/>
    <w:rsid w:val="008411C7"/>
    <w:rsid w:val="00841262"/>
    <w:rsid w:val="0084248B"/>
    <w:rsid w:val="00845200"/>
    <w:rsid w:val="0084546E"/>
    <w:rsid w:val="00847FAF"/>
    <w:rsid w:val="00850C9C"/>
    <w:rsid w:val="0085134A"/>
    <w:rsid w:val="0085190E"/>
    <w:rsid w:val="0085209A"/>
    <w:rsid w:val="008520E6"/>
    <w:rsid w:val="008531CF"/>
    <w:rsid w:val="00853F1A"/>
    <w:rsid w:val="008544DC"/>
    <w:rsid w:val="00856918"/>
    <w:rsid w:val="00860ED1"/>
    <w:rsid w:val="0086726A"/>
    <w:rsid w:val="008714EF"/>
    <w:rsid w:val="00875100"/>
    <w:rsid w:val="00875541"/>
    <w:rsid w:val="00877DCB"/>
    <w:rsid w:val="00880FF7"/>
    <w:rsid w:val="00881404"/>
    <w:rsid w:val="00881CD2"/>
    <w:rsid w:val="00883A30"/>
    <w:rsid w:val="00884B2A"/>
    <w:rsid w:val="00891FF6"/>
    <w:rsid w:val="00892C76"/>
    <w:rsid w:val="00893063"/>
    <w:rsid w:val="008947CB"/>
    <w:rsid w:val="00894842"/>
    <w:rsid w:val="0089625B"/>
    <w:rsid w:val="00897061"/>
    <w:rsid w:val="008976E0"/>
    <w:rsid w:val="008A4EF0"/>
    <w:rsid w:val="008A57E8"/>
    <w:rsid w:val="008A584C"/>
    <w:rsid w:val="008A61FD"/>
    <w:rsid w:val="008A62F9"/>
    <w:rsid w:val="008A6958"/>
    <w:rsid w:val="008A6A1D"/>
    <w:rsid w:val="008A7F04"/>
    <w:rsid w:val="008B1462"/>
    <w:rsid w:val="008B41CE"/>
    <w:rsid w:val="008B4A3B"/>
    <w:rsid w:val="008B7BC0"/>
    <w:rsid w:val="008C045A"/>
    <w:rsid w:val="008C062F"/>
    <w:rsid w:val="008C3491"/>
    <w:rsid w:val="008C6C57"/>
    <w:rsid w:val="008D16C5"/>
    <w:rsid w:val="008D2056"/>
    <w:rsid w:val="008D2C23"/>
    <w:rsid w:val="008D3B71"/>
    <w:rsid w:val="008D6238"/>
    <w:rsid w:val="008D62B8"/>
    <w:rsid w:val="008D6DCA"/>
    <w:rsid w:val="008D71E2"/>
    <w:rsid w:val="008D7EAF"/>
    <w:rsid w:val="008E0299"/>
    <w:rsid w:val="008E0E6B"/>
    <w:rsid w:val="008E3086"/>
    <w:rsid w:val="008E3F1E"/>
    <w:rsid w:val="008E41EB"/>
    <w:rsid w:val="008E5D06"/>
    <w:rsid w:val="008F1E25"/>
    <w:rsid w:val="008F2B0E"/>
    <w:rsid w:val="008F2CA3"/>
    <w:rsid w:val="008F32AF"/>
    <w:rsid w:val="0090020E"/>
    <w:rsid w:val="009004D6"/>
    <w:rsid w:val="0090089A"/>
    <w:rsid w:val="00900A28"/>
    <w:rsid w:val="00900CE2"/>
    <w:rsid w:val="0090114F"/>
    <w:rsid w:val="0090198D"/>
    <w:rsid w:val="00907739"/>
    <w:rsid w:val="009100F3"/>
    <w:rsid w:val="00910EBA"/>
    <w:rsid w:val="00912BAA"/>
    <w:rsid w:val="00912DE3"/>
    <w:rsid w:val="00917104"/>
    <w:rsid w:val="009173F8"/>
    <w:rsid w:val="0091775B"/>
    <w:rsid w:val="009178C1"/>
    <w:rsid w:val="00917D2D"/>
    <w:rsid w:val="00920C96"/>
    <w:rsid w:val="00923003"/>
    <w:rsid w:val="00924BBE"/>
    <w:rsid w:val="00926BDD"/>
    <w:rsid w:val="00927022"/>
    <w:rsid w:val="009303EE"/>
    <w:rsid w:val="0093053A"/>
    <w:rsid w:val="00930A61"/>
    <w:rsid w:val="00930DED"/>
    <w:rsid w:val="00930E64"/>
    <w:rsid w:val="00934AEE"/>
    <w:rsid w:val="00935F63"/>
    <w:rsid w:val="009409BA"/>
    <w:rsid w:val="009436F8"/>
    <w:rsid w:val="0094486C"/>
    <w:rsid w:val="009472B3"/>
    <w:rsid w:val="00947C95"/>
    <w:rsid w:val="009512AE"/>
    <w:rsid w:val="009539D4"/>
    <w:rsid w:val="00953BEB"/>
    <w:rsid w:val="009565D4"/>
    <w:rsid w:val="00960C37"/>
    <w:rsid w:val="009613A5"/>
    <w:rsid w:val="009620CE"/>
    <w:rsid w:val="00962204"/>
    <w:rsid w:val="009627A5"/>
    <w:rsid w:val="00964622"/>
    <w:rsid w:val="0096686B"/>
    <w:rsid w:val="00970447"/>
    <w:rsid w:val="00972132"/>
    <w:rsid w:val="00974DED"/>
    <w:rsid w:val="00980F45"/>
    <w:rsid w:val="00981F8E"/>
    <w:rsid w:val="009838AC"/>
    <w:rsid w:val="00985423"/>
    <w:rsid w:val="00985A87"/>
    <w:rsid w:val="009860E3"/>
    <w:rsid w:val="00987448"/>
    <w:rsid w:val="00992DC2"/>
    <w:rsid w:val="009A0048"/>
    <w:rsid w:val="009A10CB"/>
    <w:rsid w:val="009A2B3C"/>
    <w:rsid w:val="009A31D1"/>
    <w:rsid w:val="009A323E"/>
    <w:rsid w:val="009A41D7"/>
    <w:rsid w:val="009A42AB"/>
    <w:rsid w:val="009A4784"/>
    <w:rsid w:val="009A5285"/>
    <w:rsid w:val="009A74D4"/>
    <w:rsid w:val="009B3050"/>
    <w:rsid w:val="009B348E"/>
    <w:rsid w:val="009B48AD"/>
    <w:rsid w:val="009B48DE"/>
    <w:rsid w:val="009C0504"/>
    <w:rsid w:val="009C1430"/>
    <w:rsid w:val="009C3587"/>
    <w:rsid w:val="009C4230"/>
    <w:rsid w:val="009C4807"/>
    <w:rsid w:val="009C63AE"/>
    <w:rsid w:val="009C73CD"/>
    <w:rsid w:val="009D0F33"/>
    <w:rsid w:val="009D1264"/>
    <w:rsid w:val="009D3E20"/>
    <w:rsid w:val="009D4209"/>
    <w:rsid w:val="009D6CEF"/>
    <w:rsid w:val="009D712A"/>
    <w:rsid w:val="009D7170"/>
    <w:rsid w:val="009D7832"/>
    <w:rsid w:val="009E3504"/>
    <w:rsid w:val="009E3A35"/>
    <w:rsid w:val="009E454B"/>
    <w:rsid w:val="009E4C89"/>
    <w:rsid w:val="009E75DE"/>
    <w:rsid w:val="009F45CB"/>
    <w:rsid w:val="009F49A6"/>
    <w:rsid w:val="009F4FC6"/>
    <w:rsid w:val="009F522C"/>
    <w:rsid w:val="00A00DDC"/>
    <w:rsid w:val="00A02D8D"/>
    <w:rsid w:val="00A02FAE"/>
    <w:rsid w:val="00A03E0D"/>
    <w:rsid w:val="00A0584B"/>
    <w:rsid w:val="00A05F9B"/>
    <w:rsid w:val="00A06928"/>
    <w:rsid w:val="00A07A2E"/>
    <w:rsid w:val="00A1276E"/>
    <w:rsid w:val="00A14114"/>
    <w:rsid w:val="00A14E7C"/>
    <w:rsid w:val="00A1718E"/>
    <w:rsid w:val="00A17B4E"/>
    <w:rsid w:val="00A24AAB"/>
    <w:rsid w:val="00A255C3"/>
    <w:rsid w:val="00A2679A"/>
    <w:rsid w:val="00A318BB"/>
    <w:rsid w:val="00A320B8"/>
    <w:rsid w:val="00A32B34"/>
    <w:rsid w:val="00A32F68"/>
    <w:rsid w:val="00A33722"/>
    <w:rsid w:val="00A37C28"/>
    <w:rsid w:val="00A40C38"/>
    <w:rsid w:val="00A41C38"/>
    <w:rsid w:val="00A44DAE"/>
    <w:rsid w:val="00A45627"/>
    <w:rsid w:val="00A456CB"/>
    <w:rsid w:val="00A461B3"/>
    <w:rsid w:val="00A46E2E"/>
    <w:rsid w:val="00A51735"/>
    <w:rsid w:val="00A52375"/>
    <w:rsid w:val="00A5497F"/>
    <w:rsid w:val="00A565B1"/>
    <w:rsid w:val="00A570E9"/>
    <w:rsid w:val="00A6147C"/>
    <w:rsid w:val="00A645EA"/>
    <w:rsid w:val="00A64990"/>
    <w:rsid w:val="00A64B3D"/>
    <w:rsid w:val="00A64D7F"/>
    <w:rsid w:val="00A65B56"/>
    <w:rsid w:val="00A71049"/>
    <w:rsid w:val="00A728EF"/>
    <w:rsid w:val="00A72B82"/>
    <w:rsid w:val="00A7313B"/>
    <w:rsid w:val="00A73C36"/>
    <w:rsid w:val="00A74622"/>
    <w:rsid w:val="00A75668"/>
    <w:rsid w:val="00A76CE5"/>
    <w:rsid w:val="00A80F92"/>
    <w:rsid w:val="00A82E9C"/>
    <w:rsid w:val="00A8339D"/>
    <w:rsid w:val="00A83B3E"/>
    <w:rsid w:val="00A83F0B"/>
    <w:rsid w:val="00A84D30"/>
    <w:rsid w:val="00A8557A"/>
    <w:rsid w:val="00A85AEC"/>
    <w:rsid w:val="00A86CE3"/>
    <w:rsid w:val="00A90CDB"/>
    <w:rsid w:val="00A92D52"/>
    <w:rsid w:val="00A94048"/>
    <w:rsid w:val="00A946AD"/>
    <w:rsid w:val="00AA2F7D"/>
    <w:rsid w:val="00AA489C"/>
    <w:rsid w:val="00AA7B24"/>
    <w:rsid w:val="00AA7FE2"/>
    <w:rsid w:val="00AB1998"/>
    <w:rsid w:val="00AB1E2F"/>
    <w:rsid w:val="00AB3156"/>
    <w:rsid w:val="00AB37C1"/>
    <w:rsid w:val="00AB5653"/>
    <w:rsid w:val="00AB7C6D"/>
    <w:rsid w:val="00AC01B3"/>
    <w:rsid w:val="00AC1F74"/>
    <w:rsid w:val="00AC6372"/>
    <w:rsid w:val="00AD086A"/>
    <w:rsid w:val="00AD1102"/>
    <w:rsid w:val="00AD1A4F"/>
    <w:rsid w:val="00AD30C0"/>
    <w:rsid w:val="00AD78E7"/>
    <w:rsid w:val="00AE0E4B"/>
    <w:rsid w:val="00AE14A4"/>
    <w:rsid w:val="00AE20AD"/>
    <w:rsid w:val="00AE5525"/>
    <w:rsid w:val="00AE7306"/>
    <w:rsid w:val="00AF163A"/>
    <w:rsid w:val="00AF201F"/>
    <w:rsid w:val="00AF3F35"/>
    <w:rsid w:val="00AF6204"/>
    <w:rsid w:val="00AF629C"/>
    <w:rsid w:val="00AF6C46"/>
    <w:rsid w:val="00B002CF"/>
    <w:rsid w:val="00B016F6"/>
    <w:rsid w:val="00B02AC5"/>
    <w:rsid w:val="00B0366F"/>
    <w:rsid w:val="00B051AE"/>
    <w:rsid w:val="00B069C5"/>
    <w:rsid w:val="00B06AFB"/>
    <w:rsid w:val="00B12F54"/>
    <w:rsid w:val="00B1456D"/>
    <w:rsid w:val="00B153D8"/>
    <w:rsid w:val="00B15E6C"/>
    <w:rsid w:val="00B253C5"/>
    <w:rsid w:val="00B27BF9"/>
    <w:rsid w:val="00B27F30"/>
    <w:rsid w:val="00B30383"/>
    <w:rsid w:val="00B30D96"/>
    <w:rsid w:val="00B31A8E"/>
    <w:rsid w:val="00B34267"/>
    <w:rsid w:val="00B342A2"/>
    <w:rsid w:val="00B34901"/>
    <w:rsid w:val="00B351B9"/>
    <w:rsid w:val="00B40366"/>
    <w:rsid w:val="00B4067E"/>
    <w:rsid w:val="00B41B95"/>
    <w:rsid w:val="00B42D45"/>
    <w:rsid w:val="00B43EB2"/>
    <w:rsid w:val="00B444EF"/>
    <w:rsid w:val="00B455BE"/>
    <w:rsid w:val="00B47DBF"/>
    <w:rsid w:val="00B509DD"/>
    <w:rsid w:val="00B517BE"/>
    <w:rsid w:val="00B5333E"/>
    <w:rsid w:val="00B54823"/>
    <w:rsid w:val="00B54913"/>
    <w:rsid w:val="00B5566B"/>
    <w:rsid w:val="00B55B1D"/>
    <w:rsid w:val="00B60AC2"/>
    <w:rsid w:val="00B6140B"/>
    <w:rsid w:val="00B61EE8"/>
    <w:rsid w:val="00B63721"/>
    <w:rsid w:val="00B6460B"/>
    <w:rsid w:val="00B646E7"/>
    <w:rsid w:val="00B6680D"/>
    <w:rsid w:val="00B67FE4"/>
    <w:rsid w:val="00B707FE"/>
    <w:rsid w:val="00B76C13"/>
    <w:rsid w:val="00B778C7"/>
    <w:rsid w:val="00B80EC5"/>
    <w:rsid w:val="00B815BD"/>
    <w:rsid w:val="00B81609"/>
    <w:rsid w:val="00B84148"/>
    <w:rsid w:val="00B8483B"/>
    <w:rsid w:val="00B8525A"/>
    <w:rsid w:val="00B863A2"/>
    <w:rsid w:val="00B86876"/>
    <w:rsid w:val="00B906A9"/>
    <w:rsid w:val="00B9191A"/>
    <w:rsid w:val="00B925E5"/>
    <w:rsid w:val="00B93C9C"/>
    <w:rsid w:val="00B942DE"/>
    <w:rsid w:val="00B94FE9"/>
    <w:rsid w:val="00B9519A"/>
    <w:rsid w:val="00B97A45"/>
    <w:rsid w:val="00B97B61"/>
    <w:rsid w:val="00BA318A"/>
    <w:rsid w:val="00BA3B38"/>
    <w:rsid w:val="00BA57B9"/>
    <w:rsid w:val="00BA6CE1"/>
    <w:rsid w:val="00BA7A2F"/>
    <w:rsid w:val="00BB3FA7"/>
    <w:rsid w:val="00BB44CD"/>
    <w:rsid w:val="00BB7AEE"/>
    <w:rsid w:val="00BC321E"/>
    <w:rsid w:val="00BC3B6B"/>
    <w:rsid w:val="00BC3D0F"/>
    <w:rsid w:val="00BD065A"/>
    <w:rsid w:val="00BD17C4"/>
    <w:rsid w:val="00BD3358"/>
    <w:rsid w:val="00BD3D20"/>
    <w:rsid w:val="00BD5B7F"/>
    <w:rsid w:val="00BD72F7"/>
    <w:rsid w:val="00BE0ABA"/>
    <w:rsid w:val="00BE16B3"/>
    <w:rsid w:val="00BE3E03"/>
    <w:rsid w:val="00BE48D8"/>
    <w:rsid w:val="00BE4C69"/>
    <w:rsid w:val="00BE5565"/>
    <w:rsid w:val="00BE663C"/>
    <w:rsid w:val="00BE6A42"/>
    <w:rsid w:val="00BE6B85"/>
    <w:rsid w:val="00BF0188"/>
    <w:rsid w:val="00BF028A"/>
    <w:rsid w:val="00BF0A6C"/>
    <w:rsid w:val="00BF20E1"/>
    <w:rsid w:val="00BF3639"/>
    <w:rsid w:val="00C0025E"/>
    <w:rsid w:val="00C00570"/>
    <w:rsid w:val="00C007D8"/>
    <w:rsid w:val="00C02234"/>
    <w:rsid w:val="00C034AE"/>
    <w:rsid w:val="00C06C02"/>
    <w:rsid w:val="00C07730"/>
    <w:rsid w:val="00C078A6"/>
    <w:rsid w:val="00C07D77"/>
    <w:rsid w:val="00C1075C"/>
    <w:rsid w:val="00C10A0C"/>
    <w:rsid w:val="00C22E7B"/>
    <w:rsid w:val="00C2398C"/>
    <w:rsid w:val="00C247DB"/>
    <w:rsid w:val="00C25E90"/>
    <w:rsid w:val="00C2734B"/>
    <w:rsid w:val="00C3135D"/>
    <w:rsid w:val="00C31AB1"/>
    <w:rsid w:val="00C31C7E"/>
    <w:rsid w:val="00C31E4F"/>
    <w:rsid w:val="00C32E0A"/>
    <w:rsid w:val="00C33A08"/>
    <w:rsid w:val="00C349E7"/>
    <w:rsid w:val="00C40D87"/>
    <w:rsid w:val="00C4148E"/>
    <w:rsid w:val="00C44E4C"/>
    <w:rsid w:val="00C475EF"/>
    <w:rsid w:val="00C52945"/>
    <w:rsid w:val="00C54052"/>
    <w:rsid w:val="00C5503C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5F0"/>
    <w:rsid w:val="00C76B16"/>
    <w:rsid w:val="00C7787D"/>
    <w:rsid w:val="00C80F70"/>
    <w:rsid w:val="00C83F7F"/>
    <w:rsid w:val="00C84DF8"/>
    <w:rsid w:val="00C868F0"/>
    <w:rsid w:val="00C86936"/>
    <w:rsid w:val="00C9162D"/>
    <w:rsid w:val="00C91C48"/>
    <w:rsid w:val="00C943F0"/>
    <w:rsid w:val="00C94B78"/>
    <w:rsid w:val="00C95BC8"/>
    <w:rsid w:val="00C96753"/>
    <w:rsid w:val="00C97A43"/>
    <w:rsid w:val="00CA1B69"/>
    <w:rsid w:val="00CA1F2F"/>
    <w:rsid w:val="00CA38A2"/>
    <w:rsid w:val="00CA5E84"/>
    <w:rsid w:val="00CA5F8B"/>
    <w:rsid w:val="00CA66CD"/>
    <w:rsid w:val="00CA69D7"/>
    <w:rsid w:val="00CB38E8"/>
    <w:rsid w:val="00CB4106"/>
    <w:rsid w:val="00CB4CDC"/>
    <w:rsid w:val="00CB6893"/>
    <w:rsid w:val="00CC1D14"/>
    <w:rsid w:val="00CC24BF"/>
    <w:rsid w:val="00CC2E3C"/>
    <w:rsid w:val="00CC2F1B"/>
    <w:rsid w:val="00CC377F"/>
    <w:rsid w:val="00CC4336"/>
    <w:rsid w:val="00CC547B"/>
    <w:rsid w:val="00CC5C63"/>
    <w:rsid w:val="00CD2533"/>
    <w:rsid w:val="00CD37AB"/>
    <w:rsid w:val="00CD400A"/>
    <w:rsid w:val="00CD43AB"/>
    <w:rsid w:val="00CD44DD"/>
    <w:rsid w:val="00CD4B52"/>
    <w:rsid w:val="00CD5BA2"/>
    <w:rsid w:val="00CD5D6A"/>
    <w:rsid w:val="00CD5DA4"/>
    <w:rsid w:val="00CE3ACD"/>
    <w:rsid w:val="00CE4916"/>
    <w:rsid w:val="00CE4BE6"/>
    <w:rsid w:val="00CE4F5B"/>
    <w:rsid w:val="00CE65FF"/>
    <w:rsid w:val="00CF12B4"/>
    <w:rsid w:val="00CF1494"/>
    <w:rsid w:val="00CF2402"/>
    <w:rsid w:val="00CF3386"/>
    <w:rsid w:val="00CF4836"/>
    <w:rsid w:val="00D0257F"/>
    <w:rsid w:val="00D04966"/>
    <w:rsid w:val="00D05B26"/>
    <w:rsid w:val="00D06F22"/>
    <w:rsid w:val="00D07504"/>
    <w:rsid w:val="00D07E0F"/>
    <w:rsid w:val="00D12807"/>
    <w:rsid w:val="00D13A71"/>
    <w:rsid w:val="00D16687"/>
    <w:rsid w:val="00D1737B"/>
    <w:rsid w:val="00D21F1A"/>
    <w:rsid w:val="00D2210A"/>
    <w:rsid w:val="00D25670"/>
    <w:rsid w:val="00D25E26"/>
    <w:rsid w:val="00D2667C"/>
    <w:rsid w:val="00D278D6"/>
    <w:rsid w:val="00D32DC1"/>
    <w:rsid w:val="00D351EB"/>
    <w:rsid w:val="00D40746"/>
    <w:rsid w:val="00D43AED"/>
    <w:rsid w:val="00D44193"/>
    <w:rsid w:val="00D4636E"/>
    <w:rsid w:val="00D46ABA"/>
    <w:rsid w:val="00D47DC4"/>
    <w:rsid w:val="00D51595"/>
    <w:rsid w:val="00D53A67"/>
    <w:rsid w:val="00D5421B"/>
    <w:rsid w:val="00D54F1D"/>
    <w:rsid w:val="00D604C6"/>
    <w:rsid w:val="00D646F8"/>
    <w:rsid w:val="00D64AC5"/>
    <w:rsid w:val="00D6537F"/>
    <w:rsid w:val="00D6710A"/>
    <w:rsid w:val="00D67CD2"/>
    <w:rsid w:val="00D72856"/>
    <w:rsid w:val="00D74EB2"/>
    <w:rsid w:val="00D75CB7"/>
    <w:rsid w:val="00D81429"/>
    <w:rsid w:val="00D824E5"/>
    <w:rsid w:val="00D842CA"/>
    <w:rsid w:val="00D8637B"/>
    <w:rsid w:val="00D8753A"/>
    <w:rsid w:val="00D9034E"/>
    <w:rsid w:val="00D929B7"/>
    <w:rsid w:val="00D936B5"/>
    <w:rsid w:val="00D9434C"/>
    <w:rsid w:val="00D9568B"/>
    <w:rsid w:val="00D95960"/>
    <w:rsid w:val="00D96B8F"/>
    <w:rsid w:val="00DA1A1C"/>
    <w:rsid w:val="00DA4123"/>
    <w:rsid w:val="00DA64A0"/>
    <w:rsid w:val="00DA6B0F"/>
    <w:rsid w:val="00DA73D0"/>
    <w:rsid w:val="00DA7D25"/>
    <w:rsid w:val="00DB1549"/>
    <w:rsid w:val="00DB24DE"/>
    <w:rsid w:val="00DB298C"/>
    <w:rsid w:val="00DB29D9"/>
    <w:rsid w:val="00DB363E"/>
    <w:rsid w:val="00DB3E61"/>
    <w:rsid w:val="00DB4BA4"/>
    <w:rsid w:val="00DB643C"/>
    <w:rsid w:val="00DB7DAF"/>
    <w:rsid w:val="00DC153C"/>
    <w:rsid w:val="00DC55EA"/>
    <w:rsid w:val="00DD7D77"/>
    <w:rsid w:val="00DE59DF"/>
    <w:rsid w:val="00DE7993"/>
    <w:rsid w:val="00DF046D"/>
    <w:rsid w:val="00DF1CA4"/>
    <w:rsid w:val="00DF32CA"/>
    <w:rsid w:val="00DF5BD9"/>
    <w:rsid w:val="00DF686E"/>
    <w:rsid w:val="00DF6D25"/>
    <w:rsid w:val="00E0247D"/>
    <w:rsid w:val="00E05F86"/>
    <w:rsid w:val="00E0681E"/>
    <w:rsid w:val="00E07EAA"/>
    <w:rsid w:val="00E106EA"/>
    <w:rsid w:val="00E12F9F"/>
    <w:rsid w:val="00E1516C"/>
    <w:rsid w:val="00E22755"/>
    <w:rsid w:val="00E24E29"/>
    <w:rsid w:val="00E258B9"/>
    <w:rsid w:val="00E271BF"/>
    <w:rsid w:val="00E272B6"/>
    <w:rsid w:val="00E3096A"/>
    <w:rsid w:val="00E333D3"/>
    <w:rsid w:val="00E34824"/>
    <w:rsid w:val="00E34ED0"/>
    <w:rsid w:val="00E37058"/>
    <w:rsid w:val="00E41416"/>
    <w:rsid w:val="00E41D1B"/>
    <w:rsid w:val="00E425C3"/>
    <w:rsid w:val="00E44C86"/>
    <w:rsid w:val="00E47D7E"/>
    <w:rsid w:val="00E507E1"/>
    <w:rsid w:val="00E51ACD"/>
    <w:rsid w:val="00E54940"/>
    <w:rsid w:val="00E55894"/>
    <w:rsid w:val="00E5615E"/>
    <w:rsid w:val="00E568E2"/>
    <w:rsid w:val="00E603F3"/>
    <w:rsid w:val="00E61D7C"/>
    <w:rsid w:val="00E63817"/>
    <w:rsid w:val="00E67B49"/>
    <w:rsid w:val="00E70208"/>
    <w:rsid w:val="00E720AF"/>
    <w:rsid w:val="00E73884"/>
    <w:rsid w:val="00E75A52"/>
    <w:rsid w:val="00E76338"/>
    <w:rsid w:val="00E768A4"/>
    <w:rsid w:val="00E820BB"/>
    <w:rsid w:val="00E8269C"/>
    <w:rsid w:val="00E82EE0"/>
    <w:rsid w:val="00E85BE3"/>
    <w:rsid w:val="00E85F48"/>
    <w:rsid w:val="00E86565"/>
    <w:rsid w:val="00E87121"/>
    <w:rsid w:val="00E87576"/>
    <w:rsid w:val="00E90EF7"/>
    <w:rsid w:val="00E9230D"/>
    <w:rsid w:val="00E9348C"/>
    <w:rsid w:val="00E93F79"/>
    <w:rsid w:val="00E9415C"/>
    <w:rsid w:val="00E953A9"/>
    <w:rsid w:val="00E954FE"/>
    <w:rsid w:val="00E95D72"/>
    <w:rsid w:val="00E96199"/>
    <w:rsid w:val="00E96885"/>
    <w:rsid w:val="00E9798E"/>
    <w:rsid w:val="00EA04BC"/>
    <w:rsid w:val="00EA25BC"/>
    <w:rsid w:val="00EA2CDD"/>
    <w:rsid w:val="00EA3010"/>
    <w:rsid w:val="00EA3D10"/>
    <w:rsid w:val="00EA46D6"/>
    <w:rsid w:val="00EA53D7"/>
    <w:rsid w:val="00EA6727"/>
    <w:rsid w:val="00EB1144"/>
    <w:rsid w:val="00EB12F3"/>
    <w:rsid w:val="00EB3D6B"/>
    <w:rsid w:val="00EB3DCA"/>
    <w:rsid w:val="00EB6D7B"/>
    <w:rsid w:val="00EC4FFC"/>
    <w:rsid w:val="00EC717E"/>
    <w:rsid w:val="00EC7545"/>
    <w:rsid w:val="00EC75FC"/>
    <w:rsid w:val="00ED137A"/>
    <w:rsid w:val="00ED180B"/>
    <w:rsid w:val="00ED2578"/>
    <w:rsid w:val="00ED52E6"/>
    <w:rsid w:val="00ED5A3E"/>
    <w:rsid w:val="00EE3788"/>
    <w:rsid w:val="00EE3871"/>
    <w:rsid w:val="00EE3EB0"/>
    <w:rsid w:val="00EE4073"/>
    <w:rsid w:val="00EE694F"/>
    <w:rsid w:val="00EF0D8E"/>
    <w:rsid w:val="00EF138B"/>
    <w:rsid w:val="00EF152F"/>
    <w:rsid w:val="00EF1D6C"/>
    <w:rsid w:val="00EF55B8"/>
    <w:rsid w:val="00EF7D2D"/>
    <w:rsid w:val="00F01ED2"/>
    <w:rsid w:val="00F02E70"/>
    <w:rsid w:val="00F03D55"/>
    <w:rsid w:val="00F04E86"/>
    <w:rsid w:val="00F04E95"/>
    <w:rsid w:val="00F063D7"/>
    <w:rsid w:val="00F0678E"/>
    <w:rsid w:val="00F11871"/>
    <w:rsid w:val="00F1243B"/>
    <w:rsid w:val="00F13727"/>
    <w:rsid w:val="00F14EC2"/>
    <w:rsid w:val="00F152B3"/>
    <w:rsid w:val="00F1646B"/>
    <w:rsid w:val="00F165B9"/>
    <w:rsid w:val="00F204FC"/>
    <w:rsid w:val="00F219CB"/>
    <w:rsid w:val="00F225C5"/>
    <w:rsid w:val="00F23A87"/>
    <w:rsid w:val="00F2797C"/>
    <w:rsid w:val="00F31EB5"/>
    <w:rsid w:val="00F33E82"/>
    <w:rsid w:val="00F34B2E"/>
    <w:rsid w:val="00F3513F"/>
    <w:rsid w:val="00F354B5"/>
    <w:rsid w:val="00F369CC"/>
    <w:rsid w:val="00F3711D"/>
    <w:rsid w:val="00F37A96"/>
    <w:rsid w:val="00F4088A"/>
    <w:rsid w:val="00F4187A"/>
    <w:rsid w:val="00F4378A"/>
    <w:rsid w:val="00F44AD3"/>
    <w:rsid w:val="00F459F2"/>
    <w:rsid w:val="00F45DCB"/>
    <w:rsid w:val="00F46770"/>
    <w:rsid w:val="00F500F3"/>
    <w:rsid w:val="00F50271"/>
    <w:rsid w:val="00F50388"/>
    <w:rsid w:val="00F50A99"/>
    <w:rsid w:val="00F5190F"/>
    <w:rsid w:val="00F51BB5"/>
    <w:rsid w:val="00F52522"/>
    <w:rsid w:val="00F52B19"/>
    <w:rsid w:val="00F537B9"/>
    <w:rsid w:val="00F53CF8"/>
    <w:rsid w:val="00F545F9"/>
    <w:rsid w:val="00F70E23"/>
    <w:rsid w:val="00F724B3"/>
    <w:rsid w:val="00F727D5"/>
    <w:rsid w:val="00F735ED"/>
    <w:rsid w:val="00F76769"/>
    <w:rsid w:val="00F769AA"/>
    <w:rsid w:val="00F8403B"/>
    <w:rsid w:val="00F87840"/>
    <w:rsid w:val="00F91735"/>
    <w:rsid w:val="00F91D17"/>
    <w:rsid w:val="00F928F9"/>
    <w:rsid w:val="00F935A9"/>
    <w:rsid w:val="00F93B3F"/>
    <w:rsid w:val="00F93FD7"/>
    <w:rsid w:val="00F96569"/>
    <w:rsid w:val="00F966F2"/>
    <w:rsid w:val="00FA016A"/>
    <w:rsid w:val="00FA0D53"/>
    <w:rsid w:val="00FA2944"/>
    <w:rsid w:val="00FA3444"/>
    <w:rsid w:val="00FA3929"/>
    <w:rsid w:val="00FA39E2"/>
    <w:rsid w:val="00FA416E"/>
    <w:rsid w:val="00FA447C"/>
    <w:rsid w:val="00FA771E"/>
    <w:rsid w:val="00FA7ADA"/>
    <w:rsid w:val="00FA7CFF"/>
    <w:rsid w:val="00FB07A1"/>
    <w:rsid w:val="00FB1F26"/>
    <w:rsid w:val="00FB204B"/>
    <w:rsid w:val="00FB2443"/>
    <w:rsid w:val="00FB3AAC"/>
    <w:rsid w:val="00FB42D9"/>
    <w:rsid w:val="00FB5AD5"/>
    <w:rsid w:val="00FB7887"/>
    <w:rsid w:val="00FC13C1"/>
    <w:rsid w:val="00FC2210"/>
    <w:rsid w:val="00FC26BA"/>
    <w:rsid w:val="00FC4619"/>
    <w:rsid w:val="00FC4B51"/>
    <w:rsid w:val="00FC581E"/>
    <w:rsid w:val="00FC5C5B"/>
    <w:rsid w:val="00FC625D"/>
    <w:rsid w:val="00FC6EA7"/>
    <w:rsid w:val="00FD0984"/>
    <w:rsid w:val="00FD15A8"/>
    <w:rsid w:val="00FD43CC"/>
    <w:rsid w:val="00FD601A"/>
    <w:rsid w:val="00FD6B82"/>
    <w:rsid w:val="00FD73BF"/>
    <w:rsid w:val="00FE0B3F"/>
    <w:rsid w:val="00FE0EF2"/>
    <w:rsid w:val="00FE4747"/>
    <w:rsid w:val="00FE53FA"/>
    <w:rsid w:val="00FE785B"/>
    <w:rsid w:val="00FE7D7F"/>
    <w:rsid w:val="00FF2B80"/>
    <w:rsid w:val="00FF454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C0B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85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Listenabsatz,Lettre d'introduction,Paragrafo elenco,List Paragraph1,1st level - Bullet List Paragraph,Odsek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Listenabsatz Char,Lettre d'introduction Char,Paragrafo elenco Char,List Paragraph1 Char,1st level - Bullet List Paragraph Char,Odsek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E4BE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4BE5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90BEE"/>
    <w:pPr>
      <w:spacing w:after="0" w:line="240" w:lineRule="auto"/>
    </w:pPr>
  </w:style>
  <w:style w:type="paragraph" w:customStyle="1" w:styleId="L1">
    <w:name w:val="L1"/>
    <w:basedOn w:val="Nadpis1"/>
    <w:qFormat/>
    <w:rsid w:val="00CB4106"/>
    <w:pPr>
      <w:keepLines w:val="0"/>
      <w:pageBreakBefore/>
      <w:spacing w:before="0" w:line="360" w:lineRule="exact"/>
    </w:pPr>
    <w:rPr>
      <w:rFonts w:ascii="Arial Narrow" w:eastAsia="Times New Roman" w:hAnsi="Arial Narrow" w:cs="Times New Roman"/>
      <w:b/>
      <w:bCs/>
      <w:caps/>
      <w:color w:val="44546A" w:themeColor="text2"/>
      <w:spacing w:val="15"/>
      <w:sz w:val="28"/>
      <w:szCs w:val="28"/>
      <w:lang w:bidi="en-US"/>
    </w:rPr>
  </w:style>
  <w:style w:type="paragraph" w:customStyle="1" w:styleId="Tabtext">
    <w:name w:val="Tab_text"/>
    <w:basedOn w:val="Normlny"/>
    <w:link w:val="TabtextChar"/>
    <w:qFormat/>
    <w:rsid w:val="00A64B3D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sk-SK"/>
    </w:rPr>
  </w:style>
  <w:style w:type="character" w:customStyle="1" w:styleId="TabtextChar">
    <w:name w:val="Tab_text Char"/>
    <w:basedOn w:val="Predvolenpsmoodseku"/>
    <w:link w:val="Tabtext"/>
    <w:rsid w:val="00A64B3D"/>
    <w:rPr>
      <w:rFonts w:ascii="Calibri" w:eastAsia="Times New Roman" w:hAnsi="Calibri" w:cs="Times New Roman"/>
      <w:sz w:val="1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rri.gov.sk/sekcie/informatizacia/narodna-koncepcia-informatizacie-verejnej-spravy-nikvs/" TargetMode="External"/><Relationship Id="rId2" Type="http://schemas.openxmlformats.org/officeDocument/2006/relationships/hyperlink" Target="https://www.mirri.gov.sk/sekcie/investicie/strategia-vyskumu-a-inovacii-pre-inteligentnu-specializaciu-sr/index.html" TargetMode="External"/><Relationship Id="rId1" Type="http://schemas.openxmlformats.org/officeDocument/2006/relationships/hyperlink" Target="https://www.eurofondy.gov.sk/index.html" TargetMode="External"/><Relationship Id="rId4" Type="http://schemas.openxmlformats.org/officeDocument/2006/relationships/hyperlink" Target="https://www.mirri.gov.sk/sekcie/investicie/strategia-vyskumu-a-inovacii-pre-inteligentnu-specializaciu-sr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1518-25A4-4028-8648-8F2E8CF3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2023-05-10T06:36:00Z</dcterms:created>
  <dcterms:modified xsi:type="dcterms:W3CDTF">2023-05-10T06:55:00Z</dcterms:modified>
</cp:coreProperties>
</file>