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21" w:rsidRPr="00BC1A65" w:rsidRDefault="00941521" w:rsidP="00941521">
      <w:r w:rsidRPr="00581090">
        <w:rPr>
          <w:b/>
        </w:rPr>
        <w:t>Príloha č.2</w:t>
      </w:r>
      <w:r>
        <w:rPr>
          <w:b/>
        </w:rPr>
        <w:t>:</w:t>
      </w:r>
      <w:r w:rsidRPr="00BC1A65">
        <w:t xml:space="preserve"> </w:t>
      </w:r>
      <w:r w:rsidRPr="00581090">
        <w:rPr>
          <w:i/>
        </w:rPr>
        <w:t>Formulár stanoviska TS RP/AK UMR k projektovému zámeru integrovanej územnej investície</w:t>
      </w:r>
    </w:p>
    <w:p w:rsidR="00941521" w:rsidRPr="00BC1A65" w:rsidRDefault="00941521" w:rsidP="00941521">
      <w:pPr>
        <w:spacing w:after="120" w:line="264" w:lineRule="auto"/>
        <w:rPr>
          <w:rFonts w:ascii="Calibri" w:eastAsia="Times New Roman" w:hAnsi="Calibri" w:cs="Roboto"/>
          <w:b/>
          <w:bCs/>
          <w:color w:val="0064A3"/>
          <w:sz w:val="36"/>
          <w:szCs w:val="52"/>
        </w:rPr>
      </w:pPr>
      <w:r w:rsidRPr="00BC1A65">
        <w:rPr>
          <w:rFonts w:ascii="Calibri" w:eastAsia="Times New Roman" w:hAnsi="Calibri" w:cs="Roboto"/>
          <w:b/>
          <w:bCs/>
          <w:caps/>
          <w:color w:val="0064A3"/>
          <w:sz w:val="36"/>
          <w:szCs w:val="52"/>
        </w:rPr>
        <w:t>StanoviskO</w:t>
      </w:r>
      <w:r w:rsidRPr="00BC1A65">
        <w:rPr>
          <w:rFonts w:ascii="Calibri" w:eastAsia="Times New Roman" w:hAnsi="Calibri" w:cs="Roboto"/>
          <w:b/>
          <w:bCs/>
          <w:color w:val="0064A3"/>
          <w:sz w:val="36"/>
          <w:szCs w:val="52"/>
        </w:rPr>
        <w:t xml:space="preserve"> K PROJEKTOVÉMU ZÁMERU INTEGROVANEJ ÚZEMNEJ INVESTÍCIE</w:t>
      </w:r>
    </w:p>
    <w:p w:rsidR="00941521" w:rsidRPr="00BC1A65" w:rsidRDefault="00941521" w:rsidP="00941521">
      <w:pPr>
        <w:spacing w:after="120" w:line="264" w:lineRule="auto"/>
        <w:rPr>
          <w:rFonts w:ascii="Calibri" w:eastAsia="Times New Roman" w:hAnsi="Calibri" w:cs="Times New Roman"/>
          <w:color w:val="767171"/>
        </w:rPr>
      </w:pPr>
      <w:r w:rsidRPr="00BC1A65">
        <w:rPr>
          <w:rFonts w:ascii="Calibri" w:eastAsia="Times New Roman" w:hAnsi="Calibri" w:cs="Times New Roman"/>
          <w:b/>
          <w:color w:val="767171"/>
        </w:rPr>
        <w:t>Názov projektu:</w:t>
      </w:r>
    </w:p>
    <w:tbl>
      <w:tblPr>
        <w:tblStyle w:val="Mriekatabuky2"/>
        <w:tblW w:w="9519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402"/>
        <w:gridCol w:w="1439"/>
      </w:tblGrid>
      <w:tr w:rsidR="00941521" w:rsidRPr="00BC1A65" w:rsidTr="00F24FEE">
        <w:trPr>
          <w:trHeight w:val="332"/>
          <w:jc w:val="center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1521" w:rsidRPr="00BC1A65" w:rsidRDefault="00941521" w:rsidP="00F24FEE">
            <w:pPr>
              <w:spacing w:after="120" w:line="264" w:lineRule="auto"/>
              <w:ind w:left="-105"/>
              <w:rPr>
                <w:b/>
                <w:color w:val="767171"/>
                <w:sz w:val="22"/>
                <w:szCs w:val="22"/>
              </w:rPr>
            </w:pPr>
            <w:r w:rsidRPr="00BC1A65">
              <w:rPr>
                <w:b/>
                <w:color w:val="767171"/>
                <w:sz w:val="22"/>
                <w:szCs w:val="22"/>
              </w:rPr>
              <w:t>Posúdenie technického sekretariátu rady partnerstva (TS RP) alebo administratívnych kapacít kooperačnej rady udržateľného mestského rozvoja (AK KR UMR)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41521" w:rsidRPr="00BC1A65" w:rsidRDefault="00941521" w:rsidP="00F24FEE">
            <w:pPr>
              <w:spacing w:after="120" w:line="264" w:lineRule="auto"/>
              <w:rPr>
                <w:b/>
                <w:color w:val="767171"/>
                <w:sz w:val="22"/>
                <w:szCs w:val="22"/>
              </w:rPr>
            </w:pPr>
          </w:p>
        </w:tc>
      </w:tr>
      <w:tr w:rsidR="00941521" w:rsidRPr="00BC1A65" w:rsidTr="00F24FEE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AEAAAA"/>
          </w:tcPr>
          <w:p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Kritéria prijateľnosti</w:t>
            </w:r>
          </w:p>
        </w:tc>
        <w:tc>
          <w:tcPr>
            <w:tcW w:w="340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EAAAA"/>
          </w:tcPr>
          <w:p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Posúdil (zodpovedná osoba)</w:t>
            </w:r>
          </w:p>
        </w:tc>
        <w:tc>
          <w:tcPr>
            <w:tcW w:w="143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EAAAA"/>
          </w:tcPr>
          <w:p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ÁNO/NIE</w:t>
            </w:r>
          </w:p>
        </w:tc>
      </w:tr>
      <w:tr w:rsidR="00941521" w:rsidRPr="00BC1A65" w:rsidTr="00F24FEE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Projektový zámer je predložený v požadovanom formáte so všetkými náležitosťami vrátane príloh</w:t>
            </w:r>
          </w:p>
        </w:tc>
        <w:tc>
          <w:tcPr>
            <w:tcW w:w="340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KR UMR</w:t>
            </w:r>
          </w:p>
        </w:tc>
        <w:tc>
          <w:tcPr>
            <w:tcW w:w="143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:rsidTr="00F24FEE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Projekt je v súlade s opatreniami Programu Slovensko 2021 – 2027 vyčlenenými pre IÚI (tematické zameranie, ciele projektu, finančné parametre, indikátory, fáza prípravy)</w:t>
            </w:r>
          </w:p>
        </w:tc>
        <w:tc>
          <w:tcPr>
            <w:tcW w:w="340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KR UMR</w:t>
            </w:r>
          </w:p>
        </w:tc>
        <w:tc>
          <w:tcPr>
            <w:tcW w:w="143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:rsidTr="00F24FEE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941521" w:rsidRPr="00BC1A65" w:rsidRDefault="00941521" w:rsidP="00F24FEE">
            <w:pPr>
              <w:spacing w:line="276" w:lineRule="auto"/>
              <w:rPr>
                <w:b/>
              </w:rPr>
            </w:pPr>
            <w:r w:rsidRPr="00BC1A65">
              <w:rPr>
                <w:b/>
              </w:rPr>
              <w:t xml:space="preserve">Projekt je v súlade s IÚS, regionálnymi/miestnymi sektorovými stratégiami </w:t>
            </w:r>
          </w:p>
          <w:p w:rsidR="00941521" w:rsidRPr="00BC1A65" w:rsidRDefault="00941521" w:rsidP="00F24FEE">
            <w:pPr>
              <w:spacing w:after="120" w:line="264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KR UMR</w:t>
            </w:r>
          </w:p>
        </w:tc>
        <w:tc>
          <w:tcPr>
            <w:tcW w:w="143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:rsidTr="00F24FEE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941521" w:rsidRPr="00BC1A65" w:rsidRDefault="00941521" w:rsidP="00F24FEE">
            <w:pPr>
              <w:spacing w:line="276" w:lineRule="auto"/>
              <w:rPr>
                <w:b/>
              </w:rPr>
            </w:pPr>
            <w:r w:rsidRPr="00BC1A65">
              <w:rPr>
                <w:b/>
              </w:rPr>
              <w:t>Projekt popisuje prínos k deklarovanému integrovanému riešeniu</w:t>
            </w:r>
          </w:p>
        </w:tc>
        <w:tc>
          <w:tcPr>
            <w:tcW w:w="340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:rsidR="00941521" w:rsidRPr="00BC1A65" w:rsidDel="00DE6F0A" w:rsidRDefault="00941521" w:rsidP="00F24FEE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KR UMR</w:t>
            </w:r>
          </w:p>
        </w:tc>
        <w:tc>
          <w:tcPr>
            <w:tcW w:w="143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:rsidTr="00F24FEE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941521" w:rsidRPr="00BC1A65" w:rsidRDefault="00941521" w:rsidP="00F24FEE">
            <w:pPr>
              <w:spacing w:line="276" w:lineRule="auto"/>
              <w:rPr>
                <w:b/>
              </w:rPr>
            </w:pPr>
            <w:r w:rsidRPr="00BC1A65">
              <w:rPr>
                <w:b/>
              </w:rPr>
              <w:t>Projekt popisuje pozitívny dopad projektu na územie</w:t>
            </w:r>
          </w:p>
        </w:tc>
        <w:tc>
          <w:tcPr>
            <w:tcW w:w="340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:rsidR="00941521" w:rsidRPr="00BC1A65" w:rsidDel="00DE6F0A" w:rsidRDefault="00941521" w:rsidP="00F24FEE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KR UMR</w:t>
            </w:r>
          </w:p>
        </w:tc>
        <w:tc>
          <w:tcPr>
            <w:tcW w:w="143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:rsidTr="00F24FEE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:rsidR="00941521" w:rsidRPr="00BC1A65" w:rsidRDefault="00941521" w:rsidP="00F24FEE">
            <w:pPr>
              <w:spacing w:line="276" w:lineRule="auto"/>
              <w:rPr>
                <w:b/>
              </w:rPr>
            </w:pPr>
            <w:r>
              <w:rPr>
                <w:b/>
              </w:rPr>
              <w:t>Iné ak relevantné</w:t>
            </w:r>
          </w:p>
        </w:tc>
        <w:tc>
          <w:tcPr>
            <w:tcW w:w="340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1521" w:rsidRPr="00BC1A65" w:rsidRDefault="00941521" w:rsidP="00F24FEE">
            <w:pPr>
              <w:spacing w:after="120" w:line="264" w:lineRule="auto"/>
              <w:ind w:right="-379"/>
            </w:pPr>
            <w:r w:rsidRPr="00BC1A65" w:rsidDel="00DE6F0A">
              <w:t>T</w:t>
            </w:r>
            <w:r w:rsidRPr="00BC1A65">
              <w:t xml:space="preserve">S RP alebo </w:t>
            </w:r>
          </w:p>
          <w:p w:rsidR="00941521" w:rsidRPr="00BC1A65" w:rsidDel="00DE6F0A" w:rsidRDefault="00941521" w:rsidP="00F24FEE">
            <w:pPr>
              <w:spacing w:after="120" w:line="264" w:lineRule="auto"/>
              <w:ind w:right="-379"/>
            </w:pPr>
            <w:r w:rsidRPr="00BC1A65" w:rsidDel="00DE6F0A">
              <w:t>A</w:t>
            </w:r>
            <w:r w:rsidRPr="00BC1A65">
              <w:t>K KR UMR</w:t>
            </w:r>
          </w:p>
        </w:tc>
        <w:tc>
          <w:tcPr>
            <w:tcW w:w="143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</w:tcPr>
          <w:p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  <w:tr w:rsidR="00941521" w:rsidRPr="00BC1A65" w:rsidTr="00F24FEE">
        <w:trPr>
          <w:trHeight w:val="343"/>
          <w:jc w:val="center"/>
        </w:trPr>
        <w:tc>
          <w:tcPr>
            <w:tcW w:w="4678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D0CECE"/>
            <w:vAlign w:val="center"/>
          </w:tcPr>
          <w:p w:rsidR="00941521" w:rsidRPr="00BC1A65" w:rsidRDefault="00941521" w:rsidP="00F24FEE">
            <w:pPr>
              <w:spacing w:after="120" w:line="264" w:lineRule="auto"/>
              <w:rPr>
                <w:b/>
              </w:rPr>
            </w:pPr>
            <w:r w:rsidRPr="00BC1A65">
              <w:rPr>
                <w:b/>
              </w:rPr>
              <w:t>STANOVISKO</w:t>
            </w:r>
          </w:p>
        </w:tc>
        <w:tc>
          <w:tcPr>
            <w:tcW w:w="340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D0CECE"/>
          </w:tcPr>
          <w:p w:rsidR="00941521" w:rsidRPr="00BC1A65" w:rsidRDefault="00941521" w:rsidP="00F24FEE">
            <w:pPr>
              <w:spacing w:after="120" w:line="264" w:lineRule="auto"/>
              <w:ind w:right="-379"/>
              <w:rPr>
                <w:color w:val="000000"/>
              </w:rPr>
            </w:pPr>
          </w:p>
          <w:p w:rsidR="00941521" w:rsidRPr="00BC1A65" w:rsidRDefault="00941521" w:rsidP="00F24FEE">
            <w:pPr>
              <w:spacing w:after="120" w:line="264" w:lineRule="auto"/>
              <w:ind w:right="-379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D0CECE"/>
          </w:tcPr>
          <w:p w:rsidR="00941521" w:rsidRPr="00BC1A65" w:rsidRDefault="00941521" w:rsidP="00F24FEE">
            <w:pPr>
              <w:spacing w:after="120" w:line="264" w:lineRule="auto"/>
              <w:ind w:right="-379"/>
              <w:rPr>
                <w:i/>
                <w:color w:val="808080"/>
              </w:rPr>
            </w:pPr>
          </w:p>
        </w:tc>
      </w:tr>
    </w:tbl>
    <w:p w:rsidR="00941521" w:rsidRPr="00BC1A65" w:rsidRDefault="00941521" w:rsidP="00941521">
      <w:pPr>
        <w:tabs>
          <w:tab w:val="left" w:pos="1995"/>
        </w:tabs>
        <w:spacing w:after="120" w:line="264" w:lineRule="auto"/>
        <w:rPr>
          <w:rFonts w:ascii="Calibri" w:eastAsia="Times New Roman" w:hAnsi="Calibri" w:cs="Times New Roman"/>
          <w:b/>
          <w:color w:val="7F7F82"/>
        </w:rPr>
      </w:pPr>
    </w:p>
    <w:p w:rsidR="00941521" w:rsidRPr="00BC1A65" w:rsidRDefault="00941521" w:rsidP="00941521"/>
    <w:p w:rsidR="00DB3BB6" w:rsidRDefault="00941521">
      <w:bookmarkStart w:id="0" w:name="_GoBack"/>
      <w:bookmarkEnd w:id="0"/>
    </w:p>
    <w:sectPr w:rsidR="00DB3BB6" w:rsidSect="00C75C06">
      <w:headerReference w:type="default" r:id="rId4"/>
      <w:footerReference w:type="default" r:id="rId5"/>
      <w:headerReference w:type="first" r:id="rId6"/>
      <w:pgSz w:w="11906" w:h="16838"/>
      <w:pgMar w:top="1218" w:right="1417" w:bottom="993" w:left="1417" w:header="340" w:footer="372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008766"/>
      <w:docPartObj>
        <w:docPartGallery w:val="Page Numbers (Bottom of Page)"/>
        <w:docPartUnique/>
      </w:docPartObj>
    </w:sdtPr>
    <w:sdtEndPr/>
    <w:sdtContent>
      <w:p w:rsidR="000709FC" w:rsidRDefault="00941521">
        <w:pPr>
          <w:pStyle w:val="Pta"/>
          <w:jc w:val="center"/>
        </w:pPr>
        <w:r w:rsidRPr="006E4CF2">
          <w:rPr>
            <w:color w:val="000000" w:themeColor="text1"/>
            <w:sz w:val="20"/>
          </w:rPr>
          <w:fldChar w:fldCharType="begin"/>
        </w:r>
        <w:r w:rsidRPr="006E4CF2">
          <w:rPr>
            <w:color w:val="000000" w:themeColor="text1"/>
            <w:sz w:val="20"/>
          </w:rPr>
          <w:instrText>PAGE   \* MERGEFORMAT</w:instrText>
        </w:r>
        <w:r w:rsidRPr="006E4CF2">
          <w:rPr>
            <w:color w:val="000000" w:themeColor="text1"/>
            <w:sz w:val="20"/>
          </w:rPr>
          <w:fldChar w:fldCharType="separate"/>
        </w:r>
        <w:r>
          <w:rPr>
            <w:noProof/>
            <w:color w:val="000000" w:themeColor="text1"/>
            <w:sz w:val="20"/>
          </w:rPr>
          <w:t>21</w:t>
        </w:r>
        <w:r w:rsidRPr="006E4CF2">
          <w:rPr>
            <w:color w:val="000000" w:themeColor="text1"/>
            <w:sz w:val="20"/>
          </w:rPr>
          <w:fldChar w:fldCharType="end"/>
        </w:r>
      </w:p>
    </w:sdtContent>
  </w:sdt>
  <w:p w:rsidR="000709FC" w:rsidRDefault="00941521" w:rsidP="009C2536">
    <w:pPr>
      <w:pStyle w:val="Pt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FC" w:rsidRPr="00DD0864" w:rsidRDefault="00941521" w:rsidP="00DD0864">
    <w:pPr>
      <w:pStyle w:val="Hlavika"/>
    </w:pPr>
    <w:r w:rsidRPr="00DD086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FC" w:rsidRDefault="00941521" w:rsidP="00520FE3">
    <w:pPr>
      <w:pStyle w:val="Hlavika"/>
    </w:pPr>
  </w:p>
  <w:p w:rsidR="000709FC" w:rsidRPr="00520FE3" w:rsidRDefault="00941521" w:rsidP="00520FE3">
    <w:pPr>
      <w:pStyle w:val="Hlavika"/>
      <w:tabs>
        <w:tab w:val="clear" w:pos="9072"/>
      </w:tabs>
      <w:ind w:left="-567" w:right="-995"/>
      <w:rPr>
        <w:rFonts w:ascii="Calibri" w:hAnsi="Calibri" w:cs="Times New Roman"/>
        <w:noProof/>
        <w:lang w:eastAsia="sk-SK"/>
      </w:rPr>
    </w:pPr>
    <w:r>
      <w:rPr>
        <w:noProof/>
        <w:lang w:eastAsia="sk-SK"/>
      </w:rPr>
      <w:drawing>
        <wp:inline distT="0" distB="0" distL="0" distR="0" wp14:anchorId="3752F708" wp14:editId="04DBCE1E">
          <wp:extent cx="2314575" cy="485775"/>
          <wp:effectExtent l="0" t="0" r="0" b="9525"/>
          <wp:docPr id="47" name="Obrázok 47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noProof/>
        <w:lang w:eastAsia="sk-SK"/>
      </w:rPr>
      <w:drawing>
        <wp:inline distT="0" distB="0" distL="0" distR="0" wp14:anchorId="7F7F1110" wp14:editId="48BE8D8B">
          <wp:extent cx="1913143" cy="432000"/>
          <wp:effectExtent l="0" t="0" r="0" b="6350"/>
          <wp:docPr id="48" name="Obrázok 48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 w:cs="Times New Roman"/>
        <w:noProof/>
        <w:lang w:eastAsia="sk-SK"/>
      </w:rPr>
      <w:t xml:space="preserve">           </w:t>
    </w:r>
    <w:r w:rsidRPr="00A627B4">
      <w:rPr>
        <w:rFonts w:ascii="Times New Roman" w:hAnsi="Times New Roman" w:cs="Times New Roman"/>
        <w:noProof/>
        <w:sz w:val="18"/>
        <w:szCs w:val="18"/>
        <w:lang w:eastAsia="sk-SK"/>
      </w:rPr>
      <w:drawing>
        <wp:inline distT="0" distB="0" distL="0" distR="0" wp14:anchorId="5148FBB7" wp14:editId="77ED7CBC">
          <wp:extent cx="1877936" cy="432000"/>
          <wp:effectExtent l="0" t="0" r="8255" b="6350"/>
          <wp:docPr id="49" name="Obrázok 49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4B"/>
    <w:rsid w:val="00133F37"/>
    <w:rsid w:val="004710AE"/>
    <w:rsid w:val="00633E51"/>
    <w:rsid w:val="00941521"/>
    <w:rsid w:val="00C116AD"/>
    <w:rsid w:val="00D6164B"/>
    <w:rsid w:val="00D82D7E"/>
    <w:rsid w:val="00E84DFA"/>
    <w:rsid w:val="00F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92FA1-7886-4D37-8F59-C5F0375D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521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15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521"/>
    <w:rPr>
      <w:rFonts w:eastAsia="Calibri" w:cstheme="minorHAns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415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521"/>
    <w:rPr>
      <w:rFonts w:eastAsia="Calibri" w:cstheme="minorHAnsi"/>
      <w:sz w:val="24"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941521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Donauer, Eduard</dc:creator>
  <cp:keywords/>
  <dc:description/>
  <cp:lastModifiedBy>Donauer, Eduard</cp:lastModifiedBy>
  <cp:revision>2</cp:revision>
  <dcterms:created xsi:type="dcterms:W3CDTF">2023-07-14T04:50:00Z</dcterms:created>
  <dcterms:modified xsi:type="dcterms:W3CDTF">2023-07-14T04:50:00Z</dcterms:modified>
</cp:coreProperties>
</file>