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5913" w14:textId="77777777" w:rsidR="00C86936" w:rsidRPr="00F23A87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443F4F30" w14:textId="4856EC66" w:rsidR="00C86936" w:rsidRDefault="00C86936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9B7D275" w14:textId="2CB216EB" w:rsidR="00647DA7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4725F164" w14:textId="77777777" w:rsidR="00647DA7" w:rsidRPr="00F23A87" w:rsidRDefault="00647DA7" w:rsidP="00D81429">
      <w:pPr>
        <w:jc w:val="right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50C0A734" w14:textId="77777777" w:rsidR="002B4BB6" w:rsidRPr="00BC321E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</w:pP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  <w:t xml:space="preserve">KRITÉRIÁ PRE VÝBER </w:t>
      </w: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>PROJEKTOV</w:t>
      </w:r>
      <w:r w:rsidRPr="00BC321E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val="en-US" w:bidi="en-US"/>
        </w:rPr>
        <w:t xml:space="preserve"> - HODNOTIACE KRITÉRIÁ</w:t>
      </w:r>
    </w:p>
    <w:p w14:paraId="212545E8" w14:textId="77777777" w:rsidR="007C54B0" w:rsidRPr="00BC321E" w:rsidRDefault="002B4BB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pre hodnotenie žiadostí o NFP v</w:t>
      </w:r>
      <w:r w:rsidR="002C6CF7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 </w:t>
      </w: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rámci</w:t>
      </w:r>
      <w:r w:rsidR="002C6CF7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  <w:r w:rsidR="00275344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Programu Slovensko</w:t>
      </w:r>
      <w:r w:rsidR="00841262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2021 </w:t>
      </w:r>
      <w:r w:rsidR="007C54B0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–</w:t>
      </w:r>
      <w:r w:rsidR="00841262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2027</w:t>
      </w:r>
      <w:r w:rsidR="007C54B0"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, </w:t>
      </w:r>
    </w:p>
    <w:p w14:paraId="09DB52A8" w14:textId="10B484CA" w:rsidR="002B4BB6" w:rsidRPr="00BC321E" w:rsidRDefault="007C54B0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BC321E"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>cieľa politiky súdržnosti 1 Konkurencieschopnejšia a inteligentnejšia Európa</w:t>
      </w:r>
    </w:p>
    <w:p w14:paraId="69A7A3D0" w14:textId="77777777" w:rsidR="007A0486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80819C8" w14:textId="713F65E3" w:rsidR="00D936B5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0A1944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POSKYTOVATE</w:t>
      </w:r>
      <w:r w:rsidR="00D936B5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Ľ</w:t>
      </w:r>
      <w:r w:rsidRPr="000A1944">
        <w:rPr>
          <w:rFonts w:ascii="Arial Narrow" w:eastAsia="Arial Unicode MS" w:hAnsi="Arial Narrow" w:cs="Arial"/>
          <w:b/>
          <w:color w:val="000000" w:themeColor="text1"/>
          <w:sz w:val="28"/>
          <w:szCs w:val="28"/>
          <w:u w:color="000000"/>
        </w:rPr>
        <w:t>:</w:t>
      </w:r>
      <w:r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 </w:t>
      </w:r>
    </w:p>
    <w:p w14:paraId="3DFEA590" w14:textId="2834AAE1" w:rsidR="002C6CF7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  <w:t xml:space="preserve">Ministerstvo investícií, regionálneho rozvoja a informatizácie Slovenskej republiky </w:t>
      </w:r>
    </w:p>
    <w:p w14:paraId="35B65C1C" w14:textId="77777777" w:rsidR="007A0486" w:rsidRPr="00BC321E" w:rsidRDefault="007A0486" w:rsidP="002C6CF7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</w:p>
    <w:p w14:paraId="0D1CED97" w14:textId="77777777" w:rsidR="00841262" w:rsidRPr="00BC321E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ŠPECIFICKÝ CIEĽ</w:t>
      </w:r>
      <w:r w:rsidR="00841262"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:</w:t>
      </w:r>
    </w:p>
    <w:p w14:paraId="6D22576E" w14:textId="64FAD552" w:rsidR="00347061" w:rsidRPr="00BC321E" w:rsidRDefault="00EA6727" w:rsidP="00E272B6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</w:pP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RSO</w:t>
      </w:r>
      <w:r w:rsidR="00F63086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 xml:space="preserve"> </w:t>
      </w:r>
      <w:r w:rsidR="00841262"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1</w:t>
      </w: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.</w:t>
      </w:r>
      <w:r w:rsidR="006311C0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>5</w:t>
      </w:r>
      <w:r w:rsidRPr="00BC321E">
        <w:rPr>
          <w:rFonts w:ascii="Arial Narrow" w:eastAsia="Times New Roman" w:hAnsi="Arial Narrow" w:cs="Arial"/>
          <w:b/>
          <w:color w:val="000000" w:themeColor="text1"/>
          <w:sz w:val="28"/>
          <w:szCs w:val="28"/>
        </w:rPr>
        <w:t xml:space="preserve"> </w:t>
      </w:r>
      <w:r w:rsidR="006311C0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Posilňovanie digitálnej </w:t>
      </w:r>
      <w:proofErr w:type="spellStart"/>
      <w:r w:rsidR="006311C0">
        <w:rPr>
          <w:rFonts w:ascii="Arial Narrow" w:eastAsia="Times New Roman" w:hAnsi="Arial Narrow" w:cs="Arial"/>
          <w:color w:val="000000" w:themeColor="text1"/>
          <w:sz w:val="28"/>
          <w:szCs w:val="28"/>
        </w:rPr>
        <w:t>pripojiteľnosti</w:t>
      </w:r>
      <w:proofErr w:type="spellEnd"/>
      <w:r w:rsidR="00C868F0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(EFRR) </w:t>
      </w:r>
      <w:r w:rsidR="00F50271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(ďalej ako „ŠC RSO</w:t>
      </w:r>
      <w:r w:rsidR="00F63086">
        <w:rPr>
          <w:rFonts w:ascii="Arial Narrow" w:eastAsia="Times New Roman" w:hAnsi="Arial Narrow" w:cs="Arial"/>
          <w:color w:val="000000" w:themeColor="text1"/>
          <w:sz w:val="28"/>
          <w:szCs w:val="28"/>
        </w:rPr>
        <w:t xml:space="preserve"> </w:t>
      </w:r>
      <w:r w:rsidR="00F50271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1.</w:t>
      </w:r>
      <w:r w:rsidR="006311C0">
        <w:rPr>
          <w:rFonts w:ascii="Arial Narrow" w:eastAsia="Times New Roman" w:hAnsi="Arial Narrow" w:cs="Arial"/>
          <w:color w:val="000000" w:themeColor="text1"/>
          <w:sz w:val="28"/>
          <w:szCs w:val="28"/>
        </w:rPr>
        <w:t>5</w:t>
      </w:r>
      <w:r w:rsidR="00F50271" w:rsidRPr="00BC321E">
        <w:rPr>
          <w:rFonts w:ascii="Arial Narrow" w:eastAsia="Times New Roman" w:hAnsi="Arial Narrow" w:cs="Arial"/>
          <w:color w:val="000000" w:themeColor="text1"/>
          <w:sz w:val="28"/>
          <w:szCs w:val="28"/>
        </w:rPr>
        <w:t>“)</w:t>
      </w:r>
    </w:p>
    <w:p w14:paraId="691FCD22" w14:textId="77777777" w:rsidR="00F50271" w:rsidRPr="00BC321E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</w:rPr>
      </w:pPr>
    </w:p>
    <w:p w14:paraId="5A81300B" w14:textId="2746FB34" w:rsidR="00740CA8" w:rsidRPr="00BC321E" w:rsidRDefault="00841262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</w:pPr>
      <w:r w:rsidRPr="00BC321E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 xml:space="preserve">Národné </w:t>
      </w:r>
      <w:r w:rsidR="00740CA8" w:rsidRPr="00BC321E">
        <w:rPr>
          <w:rFonts w:ascii="Arial Narrow" w:eastAsia="Times New Roman" w:hAnsi="Arial Narrow" w:cs="Arial"/>
          <w:b/>
          <w:caps/>
          <w:color w:val="000000" w:themeColor="text1"/>
          <w:sz w:val="28"/>
          <w:szCs w:val="28"/>
          <w:u w:val="single"/>
        </w:rPr>
        <w:t>projekty</w:t>
      </w:r>
    </w:p>
    <w:p w14:paraId="6BF86353" w14:textId="77777777" w:rsidR="00F50271" w:rsidRPr="00F23A87" w:rsidRDefault="00F50271" w:rsidP="00740CA8">
      <w:pPr>
        <w:tabs>
          <w:tab w:val="center" w:pos="7841"/>
          <w:tab w:val="right" w:pos="13758"/>
        </w:tabs>
        <w:spacing w:after="130" w:line="240" w:lineRule="auto"/>
        <w:ind w:left="1925" w:right="1640"/>
        <w:jc w:val="center"/>
        <w:rPr>
          <w:rFonts w:ascii="Arial Narrow" w:eastAsia="Times New Roman" w:hAnsi="Arial Narrow" w:cs="Arial"/>
          <w:b/>
          <w:caps/>
          <w:color w:val="000000" w:themeColor="text1"/>
          <w:sz w:val="19"/>
          <w:szCs w:val="19"/>
        </w:rPr>
      </w:pPr>
    </w:p>
    <w:p w14:paraId="05BAD55C" w14:textId="7CD99A6D" w:rsidR="00CB4106" w:rsidRPr="00CB4106" w:rsidRDefault="00CB4106" w:rsidP="00D72856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CB4106">
        <w:rPr>
          <w:sz w:val="22"/>
          <w:szCs w:val="22"/>
        </w:rPr>
        <w:lastRenderedPageBreak/>
        <w:t>Úvod</w:t>
      </w:r>
    </w:p>
    <w:p w14:paraId="73861F63" w14:textId="0A27697D" w:rsidR="00AA2F7D" w:rsidRPr="00AA2F7D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AA2F7D">
        <w:rPr>
          <w:rFonts w:ascii="Arial Narrow" w:hAnsi="Arial Narrow"/>
        </w:rPr>
        <w:t xml:space="preserve">Výber </w:t>
      </w:r>
      <w:r w:rsidR="00E61D7C">
        <w:rPr>
          <w:rFonts w:ascii="Arial Narrow" w:hAnsi="Arial Narrow"/>
        </w:rPr>
        <w:t xml:space="preserve">národných </w:t>
      </w:r>
      <w:r w:rsidRPr="00AA2F7D">
        <w:rPr>
          <w:rFonts w:ascii="Arial Narrow" w:hAnsi="Arial Narrow"/>
        </w:rPr>
        <w:t>projektov na implementáciu</w:t>
      </w:r>
      <w:r w:rsidR="00E61D7C">
        <w:rPr>
          <w:rFonts w:ascii="Arial Narrow" w:hAnsi="Arial Narrow"/>
        </w:rPr>
        <w:t xml:space="preserve"> v rámci </w:t>
      </w:r>
      <w:r w:rsidR="007C54B0" w:rsidRPr="007C54B0">
        <w:rPr>
          <w:rFonts w:ascii="Arial Narrow" w:hAnsi="Arial Narrow"/>
          <w:b/>
        </w:rPr>
        <w:t>Cieľa</w:t>
      </w:r>
      <w:r w:rsidR="007C54B0">
        <w:rPr>
          <w:rFonts w:ascii="Arial Narrow" w:hAnsi="Arial Narrow"/>
          <w:b/>
        </w:rPr>
        <w:t xml:space="preserve"> politiky súdržnosti</w:t>
      </w:r>
      <w:r w:rsidR="007C54B0" w:rsidRPr="007C54B0">
        <w:rPr>
          <w:rFonts w:ascii="Arial Narrow" w:hAnsi="Arial Narrow"/>
          <w:b/>
        </w:rPr>
        <w:t xml:space="preserve"> 1</w:t>
      </w:r>
      <w:r w:rsidR="007C54B0">
        <w:rPr>
          <w:rFonts w:ascii="Arial Narrow" w:hAnsi="Arial Narrow"/>
        </w:rPr>
        <w:t xml:space="preserve"> K</w:t>
      </w:r>
      <w:r w:rsidR="007C54B0" w:rsidRPr="007C54B0">
        <w:rPr>
          <w:rFonts w:ascii="Arial Narrow" w:hAnsi="Arial Narrow"/>
          <w:b/>
          <w:bCs/>
        </w:rPr>
        <w:t>onkurencieschopnejšia a inteligentnejšia Európa</w:t>
      </w:r>
      <w:r w:rsidR="007C54B0">
        <w:rPr>
          <w:rFonts w:ascii="Arial Narrow" w:hAnsi="Arial Narrow"/>
          <w:b/>
          <w:bCs/>
        </w:rPr>
        <w:t xml:space="preserve">, </w:t>
      </w:r>
      <w:r w:rsidR="00E61D7C" w:rsidRPr="007C54B0">
        <w:rPr>
          <w:rFonts w:ascii="Arial Narrow" w:eastAsia="Times New Roman" w:hAnsi="Arial Narrow" w:cs="Arial"/>
          <w:b/>
          <w:color w:val="000000" w:themeColor="text1"/>
        </w:rPr>
        <w:t>ŠC RSO</w:t>
      </w:r>
      <w:r w:rsidR="007C1E07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="00E61D7C" w:rsidRPr="007C54B0">
        <w:rPr>
          <w:rFonts w:ascii="Arial Narrow" w:eastAsia="Times New Roman" w:hAnsi="Arial Narrow" w:cs="Arial"/>
          <w:b/>
          <w:color w:val="000000" w:themeColor="text1"/>
        </w:rPr>
        <w:t>1.</w:t>
      </w:r>
      <w:r w:rsidR="006311C0">
        <w:rPr>
          <w:rFonts w:ascii="Arial Narrow" w:eastAsia="Times New Roman" w:hAnsi="Arial Narrow" w:cs="Arial"/>
          <w:b/>
          <w:color w:val="000000" w:themeColor="text1"/>
        </w:rPr>
        <w:t>5</w:t>
      </w:r>
      <w:r w:rsidR="000A1944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Pr="00AA2F7D">
        <w:rPr>
          <w:rFonts w:ascii="Arial Narrow" w:hAnsi="Arial Narrow"/>
        </w:rPr>
        <w:t>bude rešpektovať výstupy dokumentov spracovaných pre potreby programového obdobia 2021 – 2027</w:t>
      </w:r>
      <w:r w:rsidR="00F50388">
        <w:rPr>
          <w:rStyle w:val="Odkaznapoznmkupodiarou"/>
          <w:rFonts w:ascii="Arial Narrow" w:hAnsi="Arial Narrow"/>
        </w:rPr>
        <w:footnoteReference w:id="1"/>
      </w:r>
      <w:r w:rsidRPr="00AA2F7D">
        <w:rPr>
          <w:rFonts w:ascii="Arial Narrow" w:hAnsi="Arial Narrow"/>
        </w:rPr>
        <w:t xml:space="preserve">, </w:t>
      </w:r>
      <w:r w:rsidR="00E61D7C">
        <w:rPr>
          <w:rFonts w:ascii="Arial Narrow" w:hAnsi="Arial Narrow"/>
        </w:rPr>
        <w:t xml:space="preserve"> príslušnú </w:t>
      </w:r>
      <w:r w:rsidR="00FB730F">
        <w:rPr>
          <w:rFonts w:ascii="Arial Narrow" w:hAnsi="Arial Narrow"/>
        </w:rPr>
        <w:t xml:space="preserve">európsku a slovenskú </w:t>
      </w:r>
      <w:r w:rsidRPr="00AA2F7D">
        <w:rPr>
          <w:rFonts w:ascii="Arial Narrow" w:hAnsi="Arial Narrow"/>
        </w:rPr>
        <w:t>legislatívu</w:t>
      </w:r>
      <w:r w:rsidR="00E61D7C" w:rsidRPr="00AA2F7D">
        <w:rPr>
          <w:rFonts w:ascii="Arial Narrow" w:hAnsi="Arial Narrow"/>
        </w:rPr>
        <w:t xml:space="preserve"> </w:t>
      </w:r>
      <w:r w:rsidRPr="00AA2F7D">
        <w:rPr>
          <w:rFonts w:ascii="Arial Narrow" w:hAnsi="Arial Narrow"/>
        </w:rPr>
        <w:t xml:space="preserve">pre oblasť </w:t>
      </w:r>
      <w:r w:rsidR="00FB730F">
        <w:rPr>
          <w:rFonts w:ascii="Arial Narrow" w:hAnsi="Arial Narrow"/>
        </w:rPr>
        <w:t>širokopásmových sietí, ako aj aktuálne stratégie pre túto oblasť</w:t>
      </w:r>
      <w:r w:rsidRPr="00AA2F7D">
        <w:rPr>
          <w:rFonts w:ascii="Arial Narrow" w:hAnsi="Arial Narrow"/>
        </w:rPr>
        <w:t>.</w:t>
      </w:r>
    </w:p>
    <w:p w14:paraId="02E532D2" w14:textId="66441A9B" w:rsidR="00BC321E" w:rsidRDefault="00AA2F7D" w:rsidP="00AA2F7D">
      <w:pPr>
        <w:keepNext/>
        <w:spacing w:after="120"/>
        <w:jc w:val="both"/>
        <w:rPr>
          <w:rFonts w:ascii="Arial Narrow" w:hAnsi="Arial Narrow"/>
        </w:rPr>
      </w:pPr>
      <w:r w:rsidRPr="00AA2F7D">
        <w:rPr>
          <w:rFonts w:ascii="Arial Narrow" w:hAnsi="Arial Narrow"/>
          <w:b/>
        </w:rPr>
        <w:t>Kritéria pre výber projektov – hodnotiace kritéria</w:t>
      </w:r>
      <w:r>
        <w:rPr>
          <w:rFonts w:ascii="Arial Narrow" w:hAnsi="Arial Narrow"/>
          <w:b/>
        </w:rPr>
        <w:t xml:space="preserve"> – národné projekty</w:t>
      </w:r>
      <w:r w:rsidR="00437B87">
        <w:rPr>
          <w:rFonts w:ascii="Arial Narrow" w:hAnsi="Arial Narrow"/>
          <w:b/>
        </w:rPr>
        <w:t xml:space="preserve"> (ďalej ako „hodnotiace kritéria“) </w:t>
      </w:r>
      <w:r w:rsidR="00C349E7" w:rsidRPr="00437B87">
        <w:rPr>
          <w:rFonts w:ascii="Arial Narrow" w:hAnsi="Arial Narrow"/>
          <w:b/>
        </w:rPr>
        <w:t>predstavujú</w:t>
      </w:r>
      <w:r w:rsidR="00C349E7">
        <w:rPr>
          <w:rFonts w:ascii="Arial Narrow" w:hAnsi="Arial Narrow"/>
          <w:b/>
        </w:rPr>
        <w:t xml:space="preserve"> tzv. vecné kritéria</w:t>
      </w:r>
      <w:r w:rsidR="00437B87" w:rsidRPr="00437B87">
        <w:rPr>
          <w:rFonts w:ascii="Arial" w:hAnsi="Arial" w:cs="Arial"/>
          <w:sz w:val="18"/>
          <w:szCs w:val="18"/>
        </w:rPr>
        <w:t xml:space="preserve"> </w:t>
      </w:r>
      <w:r w:rsidR="00437B87" w:rsidRPr="00437B87">
        <w:rPr>
          <w:rFonts w:ascii="Arial Narrow" w:hAnsi="Arial Narrow"/>
        </w:rPr>
        <w:t>pre výber národných projektov</w:t>
      </w:r>
      <w:r w:rsidR="00BC321E">
        <w:rPr>
          <w:rStyle w:val="Odkaznapoznmkupodiarou"/>
          <w:rFonts w:ascii="Arial Narrow" w:hAnsi="Arial Narrow"/>
        </w:rPr>
        <w:footnoteReference w:id="2"/>
      </w:r>
      <w:r w:rsidR="00437B87" w:rsidRPr="00437B87">
        <w:rPr>
          <w:rFonts w:ascii="Arial Narrow" w:hAnsi="Arial Narrow"/>
        </w:rPr>
        <w:t xml:space="preserve"> </w:t>
      </w:r>
      <w:r w:rsidR="00437B87">
        <w:rPr>
          <w:rFonts w:ascii="Arial Narrow" w:hAnsi="Arial Narrow"/>
        </w:rPr>
        <w:t xml:space="preserve">nad rámec minimálnych požiadaviek na výber projektov podľa článku 73 </w:t>
      </w:r>
      <w:r w:rsidR="00437B87" w:rsidRPr="00AA2F7D">
        <w:rPr>
          <w:rFonts w:ascii="Arial Narrow" w:hAnsi="Arial Narrow"/>
          <w:b/>
        </w:rPr>
        <w:t>Nariadenia Európskeho parlamentu a Rady (EÚ) 2021/1060 z 24. júna 2021</w:t>
      </w:r>
      <w:r w:rsidR="00437B87" w:rsidRPr="00AA2F7D">
        <w:rPr>
          <w:rFonts w:ascii="Arial Narrow" w:hAnsi="Arial Narrow"/>
        </w:rPr>
        <w:t xml:space="preserve">, ktorým sa stanovujú spoločné ustanovenia o  Európskom fonde regionálneho rozvoja, Európskom sociálnom fonde plus, Kohéznom fonde, Fonde na spravodlivú transformáciu a Európskom námornom, rybolovnom a  </w:t>
      </w:r>
      <w:proofErr w:type="spellStart"/>
      <w:r w:rsidR="00437B87" w:rsidRPr="00AA2F7D">
        <w:rPr>
          <w:rFonts w:ascii="Arial Narrow" w:hAnsi="Arial Narrow"/>
        </w:rPr>
        <w:t>akvakultúrnom</w:t>
      </w:r>
      <w:proofErr w:type="spellEnd"/>
      <w:r w:rsidR="00437B87" w:rsidRPr="00AA2F7D">
        <w:rPr>
          <w:rFonts w:ascii="Arial Narrow" w:hAnsi="Arial Narrow"/>
        </w:rPr>
        <w:t xml:space="preserve"> fonde a  rozpočtové pravidlá pre uvedené fondy, ako aj pre Fond pre azyl, migráciu a integráciu, Fond pre vnútornú bezpečnosť a Nástroj finančnej podpory na riadenie hraníc a vízovú politiku</w:t>
      </w:r>
      <w:r w:rsidR="00BC321E">
        <w:rPr>
          <w:rFonts w:ascii="Arial Narrow" w:hAnsi="Arial Narrow"/>
        </w:rPr>
        <w:t xml:space="preserve"> (ďalej ako „nariadenie</w:t>
      </w:r>
      <w:r w:rsidR="00FE785B">
        <w:rPr>
          <w:rFonts w:ascii="Arial Narrow" w:hAnsi="Arial Narrow"/>
        </w:rPr>
        <w:t xml:space="preserve"> o spoločných ustanoveniach</w:t>
      </w:r>
      <w:r w:rsidR="00BC321E">
        <w:rPr>
          <w:rFonts w:ascii="Arial Narrow" w:hAnsi="Arial Narrow"/>
        </w:rPr>
        <w:t>“).</w:t>
      </w:r>
    </w:p>
    <w:p w14:paraId="6E7F2403" w14:textId="4AFFF5B1" w:rsidR="00AA2F7D" w:rsidRPr="00AA2F7D" w:rsidRDefault="00437B87" w:rsidP="00AA2F7D">
      <w:pPr>
        <w:keepNext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Tieto vecné hodnotiace kritéria </w:t>
      </w:r>
      <w:r w:rsidR="00AA2F7D" w:rsidRPr="00AA2F7D">
        <w:rPr>
          <w:rFonts w:ascii="Arial Narrow" w:hAnsi="Arial Narrow"/>
        </w:rPr>
        <w:t xml:space="preserve">ako aj každá ich zmena, </w:t>
      </w:r>
      <w:r w:rsidR="00AA2F7D" w:rsidRPr="00AA2F7D">
        <w:rPr>
          <w:rFonts w:ascii="Arial Narrow" w:hAnsi="Arial Narrow"/>
          <w:b/>
        </w:rPr>
        <w:t>podlieha</w:t>
      </w:r>
      <w:r w:rsidR="00AA2F7D">
        <w:rPr>
          <w:rFonts w:ascii="Arial Narrow" w:hAnsi="Arial Narrow"/>
          <w:b/>
        </w:rPr>
        <w:t>jú</w:t>
      </w:r>
      <w:r w:rsidR="00AA2F7D" w:rsidRPr="00AA2F7D">
        <w:rPr>
          <w:rFonts w:ascii="Arial Narrow" w:hAnsi="Arial Narrow"/>
        </w:rPr>
        <w:t xml:space="preserve"> podľa </w:t>
      </w:r>
      <w:r w:rsidR="00AA2F7D" w:rsidRPr="00AA2F7D">
        <w:rPr>
          <w:rFonts w:ascii="Arial Narrow" w:hAnsi="Arial Narrow"/>
          <w:b/>
        </w:rPr>
        <w:t>čl. 40, ods. 2</w:t>
      </w:r>
      <w:r w:rsidR="00BC321E">
        <w:rPr>
          <w:rFonts w:ascii="Arial Narrow" w:hAnsi="Arial Narrow"/>
          <w:b/>
        </w:rPr>
        <w:t xml:space="preserve"> všeobecného nariadenia</w:t>
      </w:r>
      <w:r w:rsidR="00AA2F7D" w:rsidRPr="00AA2F7D">
        <w:rPr>
          <w:rFonts w:ascii="Arial Narrow" w:hAnsi="Arial Narrow"/>
          <w:b/>
        </w:rPr>
        <w:t xml:space="preserve"> schváleniu Monitorovacím výborom pre Program Slovensko 2021 – 2027</w:t>
      </w:r>
      <w:r w:rsidR="00AA2F7D" w:rsidRPr="00AA2F7D">
        <w:rPr>
          <w:rFonts w:ascii="Arial Narrow" w:hAnsi="Arial Narrow"/>
        </w:rPr>
        <w:t xml:space="preserve"> </w:t>
      </w:r>
      <w:r w:rsidR="00AA2F7D" w:rsidRPr="000A1944">
        <w:rPr>
          <w:rFonts w:ascii="Arial Narrow" w:hAnsi="Arial Narrow"/>
          <w:b/>
        </w:rPr>
        <w:t>po ich prerokovaní v Komisii pri Monitorovacom výbore pre Program Slovensko 2021 – 2027 pre cieľ 1 (Konkurencieschopnejšia a inteligentnejšia Európa)</w:t>
      </w:r>
      <w:r w:rsidR="00AA2F7D" w:rsidRPr="00AA2F7D">
        <w:rPr>
          <w:rFonts w:ascii="Arial Narrow" w:hAnsi="Arial Narrow"/>
        </w:rPr>
        <w:t xml:space="preserve"> politiky súdržnosti EÚ.</w:t>
      </w:r>
    </w:p>
    <w:p w14:paraId="6CD928EC" w14:textId="5DBD907C" w:rsidR="00CB4106" w:rsidRPr="002A4A08" w:rsidRDefault="00437B87" w:rsidP="00CB4106">
      <w:pPr>
        <w:keepNext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900A28" w:rsidRPr="002A4A08">
        <w:rPr>
          <w:rFonts w:ascii="Arial Narrow" w:hAnsi="Arial Narrow"/>
          <w:b/>
        </w:rPr>
        <w:t>odnotiace kritéria</w:t>
      </w:r>
      <w:r w:rsidR="00AA2F7D">
        <w:rPr>
          <w:rFonts w:ascii="Arial Narrow" w:hAnsi="Arial Narrow"/>
          <w:b/>
        </w:rPr>
        <w:t xml:space="preserve"> </w:t>
      </w:r>
      <w:r w:rsidR="00CB4106" w:rsidRPr="002A4A08">
        <w:rPr>
          <w:rFonts w:ascii="Arial Narrow" w:hAnsi="Arial Narrow"/>
        </w:rPr>
        <w:t>vypracoval Riadiaci orgán pre Program Slovensko 202</w:t>
      </w:r>
      <w:r w:rsidR="00480032">
        <w:rPr>
          <w:rFonts w:ascii="Arial Narrow" w:hAnsi="Arial Narrow"/>
        </w:rPr>
        <w:t>1</w:t>
      </w:r>
      <w:r w:rsidR="00CB4106" w:rsidRPr="002A4A08">
        <w:rPr>
          <w:rFonts w:ascii="Arial Narrow" w:hAnsi="Arial Narrow"/>
        </w:rPr>
        <w:t xml:space="preserve"> – 2027</w:t>
      </w:r>
      <w:r w:rsidR="00CB4106" w:rsidRPr="002A4A08">
        <w:rPr>
          <w:rFonts w:ascii="Arial Narrow" w:hAnsi="Arial Narrow"/>
          <w:vertAlign w:val="superscript"/>
        </w:rPr>
        <w:footnoteReference w:id="3"/>
      </w:r>
      <w:r w:rsidR="00CB4106" w:rsidRPr="002A4A08">
        <w:rPr>
          <w:rFonts w:ascii="Arial Narrow" w:hAnsi="Arial Narrow"/>
        </w:rPr>
        <w:t xml:space="preserve"> </w:t>
      </w:r>
      <w:r w:rsidR="00CB4106" w:rsidRPr="002A4A08">
        <w:rPr>
          <w:rFonts w:ascii="Arial Narrow" w:hAnsi="Arial Narrow"/>
          <w:b/>
        </w:rPr>
        <w:t>pre oblasti podpory</w:t>
      </w:r>
      <w:r w:rsidR="00CB4106" w:rsidRPr="002A4A08">
        <w:rPr>
          <w:rFonts w:ascii="Arial Narrow" w:hAnsi="Arial Narrow"/>
        </w:rPr>
        <w:t xml:space="preserve"> Programu Slovensko 2021 – 2027, v rámci: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4531"/>
        <w:gridCol w:w="4253"/>
        <w:gridCol w:w="6662"/>
      </w:tblGrid>
      <w:tr w:rsidR="00CB4106" w:rsidRPr="00723C2E" w14:paraId="47B37132" w14:textId="77777777" w:rsidTr="007B1E1C">
        <w:trPr>
          <w:trHeight w:val="300"/>
        </w:trPr>
        <w:tc>
          <w:tcPr>
            <w:tcW w:w="4531" w:type="dxa"/>
            <w:shd w:val="clear" w:color="auto" w:fill="5B9BD5" w:themeFill="accent1"/>
            <w:noWrap/>
            <w:hideMark/>
          </w:tcPr>
          <w:p w14:paraId="6DA50E1A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723C2E">
              <w:rPr>
                <w:rFonts w:ascii="Arial Narrow" w:hAnsi="Arial Narrow"/>
                <w:b/>
                <w:bCs/>
              </w:rPr>
              <w:t>Špecifický cieľ</w:t>
            </w:r>
          </w:p>
        </w:tc>
        <w:tc>
          <w:tcPr>
            <w:tcW w:w="4253" w:type="dxa"/>
            <w:shd w:val="clear" w:color="auto" w:fill="5B9BD5" w:themeFill="accent1"/>
            <w:noWrap/>
            <w:hideMark/>
          </w:tcPr>
          <w:p w14:paraId="701AF979" w14:textId="57887D3F" w:rsidR="00CB4106" w:rsidRPr="00723C2E" w:rsidRDefault="00043650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Opatrenie</w:t>
            </w:r>
          </w:p>
        </w:tc>
        <w:tc>
          <w:tcPr>
            <w:tcW w:w="6662" w:type="dxa"/>
            <w:shd w:val="clear" w:color="auto" w:fill="5B9BD5" w:themeFill="accent1"/>
            <w:noWrap/>
            <w:hideMark/>
          </w:tcPr>
          <w:p w14:paraId="55E184E0" w14:textId="77777777" w:rsidR="00CB4106" w:rsidRPr="00723C2E" w:rsidRDefault="00CB4106" w:rsidP="00F77C01">
            <w:pPr>
              <w:spacing w:after="120"/>
              <w:jc w:val="both"/>
              <w:rPr>
                <w:rFonts w:ascii="Arial Narrow" w:hAnsi="Arial Narrow"/>
                <w:b/>
                <w:bCs/>
              </w:rPr>
            </w:pPr>
            <w:r w:rsidRPr="00723C2E">
              <w:rPr>
                <w:rFonts w:ascii="Arial Narrow" w:hAnsi="Arial Narrow"/>
                <w:b/>
                <w:bCs/>
              </w:rPr>
              <w:t>Aktivity</w:t>
            </w:r>
          </w:p>
        </w:tc>
      </w:tr>
      <w:tr w:rsidR="006311C0" w:rsidRPr="00723C2E" w14:paraId="18BB29B0" w14:textId="77777777" w:rsidTr="007B1E1C">
        <w:trPr>
          <w:trHeight w:val="624"/>
        </w:trPr>
        <w:tc>
          <w:tcPr>
            <w:tcW w:w="4531" w:type="dxa"/>
            <w:shd w:val="clear" w:color="auto" w:fill="FFF2CC" w:themeFill="accent4" w:themeFillTint="33"/>
            <w:hideMark/>
          </w:tcPr>
          <w:p w14:paraId="4A0A739D" w14:textId="1075A121" w:rsidR="006311C0" w:rsidRPr="00723C2E" w:rsidRDefault="006311C0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RSO</w:t>
            </w:r>
            <w:r w:rsidR="00050FEA">
              <w:rPr>
                <w:rFonts w:ascii="Arial Narrow" w:hAnsi="Arial Narrow"/>
                <w:b/>
              </w:rPr>
              <w:t xml:space="preserve"> </w:t>
            </w:r>
            <w:r w:rsidRPr="00723C2E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>5</w:t>
            </w:r>
            <w:r w:rsidRPr="00723C2E">
              <w:rPr>
                <w:rFonts w:ascii="Arial Narrow" w:hAnsi="Arial Narrow"/>
              </w:rPr>
              <w:t xml:space="preserve"> </w:t>
            </w:r>
            <w:r w:rsidRPr="006311C0">
              <w:rPr>
                <w:rFonts w:ascii="Arial Narrow" w:hAnsi="Arial Narrow"/>
              </w:rPr>
              <w:t xml:space="preserve">Posilňovanie digitálnej </w:t>
            </w:r>
            <w:proofErr w:type="spellStart"/>
            <w:r w:rsidRPr="006311C0">
              <w:rPr>
                <w:rFonts w:ascii="Arial Narrow" w:hAnsi="Arial Narrow"/>
              </w:rPr>
              <w:t>pripojiteľnosti</w:t>
            </w:r>
            <w:proofErr w:type="spellEnd"/>
            <w:r>
              <w:rPr>
                <w:rFonts w:ascii="Arial Narrow" w:hAnsi="Arial Narrow"/>
              </w:rPr>
              <w:t xml:space="preserve"> (EFRR)</w:t>
            </w:r>
          </w:p>
        </w:tc>
        <w:tc>
          <w:tcPr>
            <w:tcW w:w="4253" w:type="dxa"/>
            <w:hideMark/>
          </w:tcPr>
          <w:p w14:paraId="0E022FD2" w14:textId="0622709E" w:rsidR="006311C0" w:rsidRPr="00723C2E" w:rsidRDefault="006311C0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>5</w:t>
            </w:r>
            <w:r w:rsidRPr="00723C2E">
              <w:rPr>
                <w:rFonts w:ascii="Arial Narrow" w:hAnsi="Arial Narrow"/>
                <w:b/>
              </w:rPr>
              <w:t xml:space="preserve">.1 </w:t>
            </w:r>
            <w:r w:rsidRPr="006311C0">
              <w:rPr>
                <w:rFonts w:ascii="Arial Narrow" w:hAnsi="Arial Narrow"/>
                <w:b/>
              </w:rPr>
              <w:t xml:space="preserve">Podpora digitálnej </w:t>
            </w:r>
            <w:proofErr w:type="spellStart"/>
            <w:r w:rsidRPr="006311C0">
              <w:rPr>
                <w:rFonts w:ascii="Arial Narrow" w:hAnsi="Arial Narrow"/>
                <w:b/>
              </w:rPr>
              <w:t>pripojiteľnosti</w:t>
            </w:r>
            <w:proofErr w:type="spellEnd"/>
            <w:r w:rsidRPr="00723C2E">
              <w:rPr>
                <w:rFonts w:ascii="Arial Narrow" w:hAnsi="Arial Narrow"/>
              </w:rPr>
              <w:br/>
            </w:r>
          </w:p>
        </w:tc>
        <w:tc>
          <w:tcPr>
            <w:tcW w:w="6662" w:type="dxa"/>
            <w:hideMark/>
          </w:tcPr>
          <w:p w14:paraId="06983879" w14:textId="6F27BE97" w:rsidR="006311C0" w:rsidRPr="00723C2E" w:rsidRDefault="006311C0" w:rsidP="007B1E1C">
            <w:pPr>
              <w:spacing w:after="120"/>
              <w:jc w:val="both"/>
              <w:rPr>
                <w:rFonts w:ascii="Arial Narrow" w:hAnsi="Arial Narrow"/>
              </w:rPr>
            </w:pPr>
            <w:r w:rsidRPr="00723C2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systém poukážok na podporu konektivity</w:t>
            </w:r>
          </w:p>
        </w:tc>
      </w:tr>
    </w:tbl>
    <w:p w14:paraId="353C56B4" w14:textId="7C1D8379" w:rsidR="00CB4106" w:rsidRPr="00BC321E" w:rsidRDefault="00BC321E" w:rsidP="00BC321E">
      <w:pPr>
        <w:pStyle w:val="L1"/>
        <w:numPr>
          <w:ilvl w:val="0"/>
          <w:numId w:val="46"/>
        </w:numPr>
        <w:spacing w:after="240"/>
        <w:rPr>
          <w:sz w:val="22"/>
          <w:szCs w:val="22"/>
        </w:rPr>
      </w:pPr>
      <w:r w:rsidRPr="00BC321E">
        <w:rPr>
          <w:sz w:val="22"/>
          <w:szCs w:val="22"/>
        </w:rPr>
        <w:t>Vylučujúce hodnotiace kritéria</w:t>
      </w:r>
    </w:p>
    <w:p w14:paraId="2BE88735" w14:textId="654008F1" w:rsidR="00C349E7" w:rsidRDefault="00BC321E" w:rsidP="00FC581E">
      <w:pPr>
        <w:keepNext/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Nižšie definované h</w:t>
      </w:r>
      <w:r w:rsidR="00841262" w:rsidRPr="00F23A87">
        <w:rPr>
          <w:rFonts w:ascii="Arial Narrow" w:hAnsi="Arial Narrow"/>
        </w:rPr>
        <w:t>odnotiace kritériá</w:t>
      </w:r>
      <w:r w:rsidR="00D4636E">
        <w:rPr>
          <w:rFonts w:ascii="Arial Narrow" w:hAnsi="Arial Narrow"/>
        </w:rPr>
        <w:t xml:space="preserve"> </w:t>
      </w:r>
      <w:r w:rsidR="00D4636E" w:rsidRPr="00D4636E">
        <w:rPr>
          <w:rFonts w:ascii="Arial Narrow" w:hAnsi="Arial Narrow"/>
        </w:rPr>
        <w:t>tzv. vecné kritéria</w:t>
      </w:r>
      <w:r w:rsidR="00841262" w:rsidRPr="00F23A87">
        <w:rPr>
          <w:rFonts w:ascii="Arial Narrow" w:hAnsi="Arial Narrow"/>
        </w:rPr>
        <w:t xml:space="preserve"> žiadostí o poskytnutie nenávratného finančného príspevku (ďalej ako „</w:t>
      </w:r>
      <w:proofErr w:type="spellStart"/>
      <w:r w:rsidR="00841262" w:rsidRPr="00F23A87">
        <w:rPr>
          <w:rFonts w:ascii="Arial Narrow" w:hAnsi="Arial Narrow"/>
        </w:rPr>
        <w:t>ŽoNFP</w:t>
      </w:r>
      <w:proofErr w:type="spellEnd"/>
      <w:r w:rsidR="00841262" w:rsidRPr="00F23A87">
        <w:rPr>
          <w:rFonts w:ascii="Arial Narrow" w:hAnsi="Arial Narrow"/>
        </w:rPr>
        <w:t xml:space="preserve">“) predstavujú </w:t>
      </w:r>
      <w:r w:rsidR="00841262" w:rsidRPr="00F23A87">
        <w:rPr>
          <w:rFonts w:ascii="Arial Narrow" w:hAnsi="Arial Narrow"/>
          <w:b/>
        </w:rPr>
        <w:t>vylučujúc</w:t>
      </w:r>
      <w:r w:rsidR="00CB4106">
        <w:rPr>
          <w:rFonts w:ascii="Arial Narrow" w:hAnsi="Arial Narrow"/>
          <w:b/>
        </w:rPr>
        <w:t>e kritéria</w:t>
      </w:r>
      <w:r w:rsidR="008B41CE" w:rsidRPr="00F23A87">
        <w:rPr>
          <w:rFonts w:ascii="Arial Narrow" w:hAnsi="Arial Narrow"/>
          <w:b/>
        </w:rPr>
        <w:t xml:space="preserve">, </w:t>
      </w:r>
      <w:r w:rsidR="008B41CE" w:rsidRPr="00F50271">
        <w:rPr>
          <w:rFonts w:ascii="Arial Narrow" w:hAnsi="Arial Narrow"/>
        </w:rPr>
        <w:t>ktoré</w:t>
      </w:r>
      <w:r w:rsidR="00841262" w:rsidRPr="00F50271">
        <w:rPr>
          <w:rFonts w:ascii="Arial Narrow" w:hAnsi="Arial Narrow"/>
        </w:rPr>
        <w:t xml:space="preserve"> </w:t>
      </w:r>
      <w:r w:rsidR="00841262" w:rsidRPr="00F23A87">
        <w:rPr>
          <w:rFonts w:ascii="Arial Narrow" w:hAnsi="Arial Narrow"/>
        </w:rPr>
        <w:t xml:space="preserve">sú vyhodnocované iba možnosťou </w:t>
      </w:r>
      <w:r w:rsidR="00841262" w:rsidRPr="00F23A87">
        <w:rPr>
          <w:rFonts w:ascii="Arial Narrow" w:hAnsi="Arial Narrow"/>
          <w:b/>
        </w:rPr>
        <w:t>áno</w:t>
      </w:r>
      <w:r w:rsidR="00F50271">
        <w:rPr>
          <w:rFonts w:ascii="Arial Narrow" w:hAnsi="Arial Narrow"/>
          <w:b/>
        </w:rPr>
        <w:t xml:space="preserve"> alebo </w:t>
      </w:r>
      <w:r w:rsidR="00841262" w:rsidRPr="00F23A87">
        <w:rPr>
          <w:rFonts w:ascii="Arial Narrow" w:hAnsi="Arial Narrow"/>
          <w:b/>
        </w:rPr>
        <w:t>nie</w:t>
      </w:r>
      <w:r w:rsidR="00841262" w:rsidRPr="00F23A87">
        <w:rPr>
          <w:rFonts w:ascii="Arial Narrow" w:hAnsi="Arial Narrow"/>
        </w:rPr>
        <w:t xml:space="preserve">, pričom </w:t>
      </w:r>
      <w:r w:rsidR="00841262" w:rsidRPr="00EE694F">
        <w:rPr>
          <w:rFonts w:ascii="Arial Narrow" w:hAnsi="Arial Narrow"/>
          <w:b/>
        </w:rPr>
        <w:t>,,</w:t>
      </w:r>
      <w:r w:rsidR="00841262" w:rsidRPr="00F23A87">
        <w:rPr>
          <w:rFonts w:ascii="Arial Narrow" w:hAnsi="Arial Narrow"/>
          <w:b/>
        </w:rPr>
        <w:t>nie“</w:t>
      </w:r>
      <w:r w:rsidR="00841262" w:rsidRPr="00F23A87">
        <w:rPr>
          <w:rFonts w:ascii="Arial Narrow" w:hAnsi="Arial Narrow"/>
        </w:rPr>
        <w:t xml:space="preserve"> znamená automaticky </w:t>
      </w:r>
      <w:r w:rsidR="00841262" w:rsidRPr="00F23A87">
        <w:rPr>
          <w:rFonts w:ascii="Arial Narrow" w:hAnsi="Arial Narrow"/>
          <w:b/>
        </w:rPr>
        <w:t>nesplnenie kritérií</w:t>
      </w:r>
      <w:r w:rsidR="00841262" w:rsidRPr="00F23A87">
        <w:rPr>
          <w:rFonts w:ascii="Arial Narrow" w:hAnsi="Arial Narrow"/>
        </w:rPr>
        <w:t xml:space="preserve"> pre výber projektov a </w:t>
      </w:r>
      <w:r w:rsidR="00841262" w:rsidRPr="00F23A87">
        <w:rPr>
          <w:rFonts w:ascii="Arial Narrow" w:hAnsi="Arial Narrow"/>
          <w:b/>
        </w:rPr>
        <w:t xml:space="preserve">neschválenie </w:t>
      </w:r>
      <w:proofErr w:type="spellStart"/>
      <w:r w:rsidR="00841262" w:rsidRPr="00F23A87">
        <w:rPr>
          <w:rFonts w:ascii="Arial Narrow" w:hAnsi="Arial Narrow"/>
          <w:b/>
        </w:rPr>
        <w:t>ŽoNFP</w:t>
      </w:r>
      <w:proofErr w:type="spellEnd"/>
      <w:r w:rsidR="00841262" w:rsidRPr="00F23A87">
        <w:rPr>
          <w:rFonts w:ascii="Arial Narrow" w:hAnsi="Arial Narrow"/>
          <w:b/>
        </w:rP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4"/>
        <w:gridCol w:w="7520"/>
        <w:gridCol w:w="1120"/>
        <w:gridCol w:w="4038"/>
      </w:tblGrid>
      <w:tr w:rsidR="002526E6" w:rsidRPr="00F23A87" w14:paraId="39E51D01" w14:textId="77777777" w:rsidTr="00D72856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A55D550" w14:textId="5C775ABA" w:rsidR="002526E6" w:rsidRPr="00F50271" w:rsidRDefault="002526E6" w:rsidP="002526E6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F23A87" w14:paraId="6AC6DDD1" w14:textId="77777777" w:rsidTr="00FC581E">
        <w:trPr>
          <w:trHeight w:val="300"/>
          <w:jc w:val="center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4985043" w14:textId="7CADA3DF" w:rsidR="002526E6" w:rsidRPr="002526E6" w:rsidRDefault="002526E6" w:rsidP="00691593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736" w:type="pct"/>
            <w:vMerge w:val="restart"/>
            <w:shd w:val="clear" w:color="auto" w:fill="DEEAF6" w:themeFill="accent1" w:themeFillTint="33"/>
            <w:vAlign w:val="center"/>
          </w:tcPr>
          <w:p w14:paraId="46437710" w14:textId="22F019E8" w:rsidR="002526E6" w:rsidRPr="001D63EF" w:rsidRDefault="002526E6" w:rsidP="00D12807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Príspevok    projektu k cieľom a </w:t>
            </w:r>
            <w:r w:rsidR="00D12807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aktivitám </w:t>
            </w:r>
            <w:r w:rsidR="00F50388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Programu Slovensko 2021 -2027</w:t>
            </w:r>
            <w:r w:rsidR="0062463B" w:rsidRPr="00CE491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</w:t>
            </w:r>
            <w:r w:rsidR="0062463B" w:rsidRPr="008D16C5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a k výsledkom Partnerskej dohody </w:t>
            </w:r>
          </w:p>
        </w:tc>
        <w:tc>
          <w:tcPr>
            <w:tcW w:w="2445" w:type="pct"/>
            <w:shd w:val="clear" w:color="auto" w:fill="DEEAF6" w:themeFill="accent1" w:themeFillTint="33"/>
            <w:vAlign w:val="center"/>
            <w:hideMark/>
          </w:tcPr>
          <w:p w14:paraId="25967905" w14:textId="49BBD767" w:rsidR="002526E6" w:rsidRPr="001D63EF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64" w:type="pct"/>
            <w:shd w:val="clear" w:color="auto" w:fill="DEEAF6" w:themeFill="accent1" w:themeFillTint="33"/>
            <w:vAlign w:val="center"/>
            <w:hideMark/>
          </w:tcPr>
          <w:p w14:paraId="18AD7D80" w14:textId="77777777" w:rsidR="002526E6" w:rsidRPr="00F50271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12" w:type="pct"/>
            <w:shd w:val="clear" w:color="auto" w:fill="DEEAF6" w:themeFill="accent1" w:themeFillTint="33"/>
            <w:vAlign w:val="center"/>
            <w:hideMark/>
          </w:tcPr>
          <w:p w14:paraId="52B45251" w14:textId="2A244993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F23A87" w14:paraId="6AACFD2B" w14:textId="77777777" w:rsidTr="00EE694F">
        <w:trPr>
          <w:trHeight w:val="961"/>
          <w:jc w:val="center"/>
        </w:trPr>
        <w:tc>
          <w:tcPr>
            <w:tcW w:w="142" w:type="pct"/>
            <w:vMerge/>
          </w:tcPr>
          <w:p w14:paraId="54092EF4" w14:textId="77777777" w:rsidR="002526E6" w:rsidRPr="00F50271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80AD13F" w14:textId="282950B0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 w:val="restart"/>
            <w:shd w:val="clear" w:color="auto" w:fill="auto"/>
            <w:vAlign w:val="center"/>
          </w:tcPr>
          <w:p w14:paraId="1DD59C7E" w14:textId="0F910A75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Posudzuje sa súlad projektu s intervenčnou stratégiou </w:t>
            </w:r>
            <w:r w:rsidR="00F50388" w:rsidRPr="001D63EF">
              <w:rPr>
                <w:rFonts w:ascii="Arial Narrow" w:eastAsia="Times New Roman" w:hAnsi="Arial Narrow" w:cs="Arial"/>
                <w:lang w:eastAsia="sk-SK"/>
              </w:rPr>
              <w:t>programu Slovensko 2021 – 2027 (ďalej ako „P SK“)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v nasledovných oblastiach:</w:t>
            </w:r>
          </w:p>
          <w:p w14:paraId="26E154E2" w14:textId="527B162D" w:rsidR="002526E6" w:rsidRPr="00CE4916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1) súlad projektu 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s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nasledujúci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m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špecifick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ým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cieľo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m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: </w:t>
            </w:r>
            <w:r w:rsidRPr="001D63EF">
              <w:rPr>
                <w:rFonts w:ascii="Arial Narrow" w:eastAsia="Times New Roman" w:hAnsi="Arial Narrow" w:cs="Arial"/>
                <w:b/>
                <w:lang w:eastAsia="sk-SK"/>
              </w:rPr>
              <w:t>RSO1.</w:t>
            </w:r>
            <w:r w:rsidR="006311C0">
              <w:rPr>
                <w:rFonts w:ascii="Arial Narrow" w:eastAsia="Times New Roman" w:hAnsi="Arial Narrow" w:cs="Arial"/>
                <w:b/>
                <w:lang w:eastAsia="sk-SK"/>
              </w:rPr>
              <w:t>5</w:t>
            </w:r>
            <w:r w:rsidR="00497AA9" w:rsidRPr="001D63EF">
              <w:rPr>
                <w:rFonts w:ascii="Arial Narrow" w:eastAsia="Times New Roman" w:hAnsi="Arial Narrow" w:cs="Arial"/>
                <w:b/>
                <w:lang w:eastAsia="sk-SK"/>
              </w:rPr>
              <w:t xml:space="preserve"> (opatrenie 1.</w:t>
            </w:r>
            <w:r w:rsidR="006311C0">
              <w:rPr>
                <w:rFonts w:ascii="Arial Narrow" w:eastAsia="Times New Roman" w:hAnsi="Arial Narrow" w:cs="Arial"/>
                <w:b/>
                <w:lang w:eastAsia="sk-SK"/>
              </w:rPr>
              <w:t>5</w:t>
            </w:r>
            <w:r w:rsidR="00497AA9" w:rsidRPr="001D63EF">
              <w:rPr>
                <w:rFonts w:ascii="Arial Narrow" w:eastAsia="Times New Roman" w:hAnsi="Arial Narrow" w:cs="Arial"/>
                <w:b/>
                <w:lang w:eastAsia="sk-SK"/>
              </w:rPr>
              <w:t>.1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7B1E1C">
              <w:rPr>
                <w:rFonts w:ascii="Arial Narrow" w:eastAsia="Times New Roman" w:hAnsi="Arial Narrow" w:cs="Arial"/>
                <w:lang w:eastAsia="sk-SK"/>
              </w:rPr>
              <w:t>,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</w:p>
          <w:p w14:paraId="2D82240A" w14:textId="214212CE" w:rsidR="002526E6" w:rsidRPr="00CE4916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>2) súlad s očakávanými výsledkami</w:t>
            </w:r>
            <w:r w:rsidR="0014583F" w:rsidRPr="008D16C5">
              <w:rPr>
                <w:rFonts w:ascii="Arial Narrow" w:eastAsia="Times New Roman" w:hAnsi="Arial Narrow" w:cs="Arial"/>
                <w:lang w:eastAsia="sk-SK"/>
              </w:rPr>
              <w:t xml:space="preserve"> definovanými v Partnerskej dohode pre relevantný špecifický cieľ RSO 1.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5</w:t>
            </w:r>
            <w:r w:rsidR="0014583F" w:rsidRPr="00CE4916">
              <w:rPr>
                <w:rStyle w:val="Odkaznapoznmkupodiarou"/>
                <w:rFonts w:ascii="Arial Narrow" w:eastAsia="Times New Roman" w:hAnsi="Arial Narrow"/>
                <w:lang w:eastAsia="sk-SK"/>
              </w:rPr>
              <w:footnoteReference w:id="4"/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,</w:t>
            </w:r>
          </w:p>
          <w:p w14:paraId="74AD677A" w14:textId="77777777" w:rsidR="002526E6" w:rsidRPr="008D16C5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>3) súlad s definovanými typmi oprávnených aktivít v rámci výzvy.</w:t>
            </w:r>
          </w:p>
          <w:p w14:paraId="3B6796FA" w14:textId="77777777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6A388672" w14:textId="1017BEC7" w:rsidR="002526E6" w:rsidRPr="001D63EF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Na rozdiel od administratívneho overenia ide o hĺbkové posúdenie vecnej (obsahovej) stránky projektu z hľadiska jeho súladu s intervenčnou stratégiou P SK.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8AB66F" w14:textId="77777777" w:rsidR="002526E6" w:rsidRPr="00F50271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5856CD6" w14:textId="69E136F7" w:rsidR="002526E6" w:rsidRPr="00F50271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je v súlade s intervenčnou stratégiou P SK v príslušných oblastiach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2526E6" w:rsidRPr="00F23A87" w14:paraId="7022677D" w14:textId="77777777" w:rsidTr="00FC581E">
        <w:trPr>
          <w:trHeight w:val="555"/>
          <w:jc w:val="center"/>
        </w:trPr>
        <w:tc>
          <w:tcPr>
            <w:tcW w:w="142" w:type="pct"/>
            <w:vMerge/>
          </w:tcPr>
          <w:p w14:paraId="3AC4BA3C" w14:textId="77777777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6" w:type="pct"/>
            <w:vMerge/>
          </w:tcPr>
          <w:p w14:paraId="73A2E045" w14:textId="4AC3208E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45" w:type="pct"/>
            <w:vMerge/>
            <w:shd w:val="clear" w:color="auto" w:fill="auto"/>
            <w:vAlign w:val="center"/>
          </w:tcPr>
          <w:p w14:paraId="09795A01" w14:textId="520A63C8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F7E83C0" w14:textId="77777777" w:rsidR="002526E6" w:rsidRPr="00F50271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39116C0" w14:textId="575353C8" w:rsidR="002526E6" w:rsidRPr="00F50271" w:rsidRDefault="002526E6" w:rsidP="002526E6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nie je v súlade s intervenčnou stratégiou P SK v príslušných oblastiach</w:t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73B98683" w14:textId="77777777" w:rsidR="00466376" w:rsidRPr="00F50271" w:rsidRDefault="00466376" w:rsidP="00466376">
      <w:pPr>
        <w:tabs>
          <w:tab w:val="left" w:pos="1620"/>
        </w:tabs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posudzuje najmä informácie uvedené v častiach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>: 5. Identifikácia projektu, 7. Popis projektu, 10.1 Aktivity projektu a očakávané merateľné ukazovatele.</w:t>
      </w:r>
    </w:p>
    <w:p w14:paraId="2F6A4BE6" w14:textId="77777777" w:rsidR="00466376" w:rsidRPr="00F50271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posúdi, či je správne a dostatočne deklarovaný súlad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s intervenčnou stratégiou P SK v nasledovných aspektoch:</w:t>
      </w:r>
    </w:p>
    <w:p w14:paraId="1BEE7738" w14:textId="5D4F2452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>súlad s príslušným špecifickým cieľom,</w:t>
      </w:r>
    </w:p>
    <w:p w14:paraId="26606FD2" w14:textId="2B4FCF13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 xml:space="preserve">súlad s očakávanými </w:t>
      </w:r>
      <w:r w:rsidRPr="00CE4916">
        <w:rPr>
          <w:rFonts w:ascii="Arial Narrow" w:hAnsi="Arial Narrow" w:cs="Arial"/>
          <w:color w:val="000000" w:themeColor="text1"/>
          <w:lang w:val="sk-SK"/>
        </w:rPr>
        <w:t>výsledkami</w:t>
      </w:r>
      <w:r w:rsidR="0014583F" w:rsidRPr="00CE4916">
        <w:rPr>
          <w:rFonts w:ascii="Arial Narrow" w:hAnsi="Arial Narrow" w:cs="Arial"/>
          <w:color w:val="000000" w:themeColor="text1"/>
          <w:lang w:val="sk-SK"/>
        </w:rPr>
        <w:t xml:space="preserve"> definovanými v Partnerskej dohode pre špecifický cieľ RSO 1.</w:t>
      </w:r>
      <w:r w:rsidR="006311C0">
        <w:rPr>
          <w:rFonts w:ascii="Arial Narrow" w:hAnsi="Arial Narrow" w:cs="Arial"/>
          <w:color w:val="000000" w:themeColor="text1"/>
          <w:lang w:val="sk-SK"/>
        </w:rPr>
        <w:t>5</w:t>
      </w:r>
      <w:r w:rsidRPr="00F50271">
        <w:rPr>
          <w:rFonts w:ascii="Arial Narrow" w:hAnsi="Arial Narrow" w:cs="Arial"/>
          <w:color w:val="000000" w:themeColor="text1"/>
          <w:lang w:val="sk-SK"/>
        </w:rPr>
        <w:t>,</w:t>
      </w:r>
    </w:p>
    <w:p w14:paraId="5CAE81E9" w14:textId="77777777" w:rsidR="00466376" w:rsidRPr="00F50271" w:rsidRDefault="00466376" w:rsidP="00466376">
      <w:pPr>
        <w:pStyle w:val="Odsekzoznamu"/>
        <w:numPr>
          <w:ilvl w:val="0"/>
          <w:numId w:val="41"/>
        </w:numPr>
        <w:spacing w:before="120" w:after="120" w:line="288" w:lineRule="auto"/>
        <w:jc w:val="both"/>
        <w:rPr>
          <w:rFonts w:ascii="Arial Narrow" w:hAnsi="Arial Narrow" w:cs="Arial"/>
          <w:color w:val="000000" w:themeColor="text1"/>
          <w:lang w:val="sk-SK"/>
        </w:rPr>
      </w:pPr>
      <w:r w:rsidRPr="00F50271">
        <w:rPr>
          <w:rFonts w:ascii="Arial Narrow" w:hAnsi="Arial Narrow" w:cs="Arial"/>
          <w:color w:val="000000" w:themeColor="text1"/>
          <w:lang w:val="sk-SK"/>
        </w:rPr>
        <w:t>súlad s definovanými typmi oprávnených aktivít v rámci výzvy.</w:t>
      </w:r>
    </w:p>
    <w:p w14:paraId="2DBAB172" w14:textId="4E3BBE2B" w:rsidR="00466376" w:rsidRPr="00F50271" w:rsidRDefault="00466376" w:rsidP="00466376">
      <w:pPr>
        <w:spacing w:before="12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posúdi, či deklarovaný príspevok vyplýva z realizácie konkrétnych aktivít projektu. </w:t>
      </w:r>
      <w:r w:rsidRPr="00F50271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F50271">
        <w:rPr>
          <w:rFonts w:ascii="Arial Narrow" w:hAnsi="Arial Narrow" w:cs="Arial"/>
          <w:b/>
          <w:color w:val="000000" w:themeColor="text1"/>
        </w:rPr>
        <w:t>ŽoNFP</w:t>
      </w:r>
      <w:proofErr w:type="spellEnd"/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 je v súlade s intervenčnou stratégiou P SK vo všetkých troch uvedených </w:t>
      </w:r>
      <w:r w:rsidR="008B41CE" w:rsidRPr="00F50271">
        <w:rPr>
          <w:rFonts w:ascii="Arial Narrow" w:eastAsia="Helvetica" w:hAnsi="Arial Narrow" w:cs="Arial"/>
          <w:b/>
          <w:color w:val="000000" w:themeColor="text1"/>
        </w:rPr>
        <w:t>oblastiach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 w:rsidR="00F53CF8">
        <w:rPr>
          <w:rFonts w:ascii="Arial Narrow" w:eastAsia="Helvetica" w:hAnsi="Arial Narrow" w:cs="Arial"/>
          <w:b/>
          <w:color w:val="000000" w:themeColor="text1"/>
        </w:rPr>
        <w:t>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 V opačnom prípade prirad</w:t>
      </w:r>
      <w:r w:rsidR="00F53CF8">
        <w:rPr>
          <w:rFonts w:ascii="Arial Narrow" w:eastAsia="Helvetica" w:hAnsi="Arial Narrow" w:cs="Arial"/>
          <w:b/>
          <w:color w:val="000000" w:themeColor="text1"/>
        </w:rPr>
        <w:t>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E36282B" w14:textId="6AF61043" w:rsidR="00466376" w:rsidRDefault="00466376" w:rsidP="00FC581E">
      <w:pPr>
        <w:spacing w:after="24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F50271">
        <w:rPr>
          <w:rFonts w:ascii="Arial Narrow" w:hAnsi="Arial Narrow" w:cs="Arial"/>
          <w:color w:val="000000" w:themeColor="text1"/>
        </w:rPr>
        <w:t xml:space="preserve"> v hodnotiacom hárku odborného hodnotenia v časti </w:t>
      </w:r>
      <w:r w:rsidR="00F50271">
        <w:rPr>
          <w:rFonts w:ascii="Arial Narrow" w:hAnsi="Arial Narrow" w:cs="Arial"/>
          <w:color w:val="000000" w:themeColor="text1"/>
        </w:rPr>
        <w:t xml:space="preserve">„Komentár“ </w:t>
      </w:r>
      <w:r w:rsidRPr="00F50271">
        <w:rPr>
          <w:rFonts w:ascii="Arial Narrow" w:hAnsi="Arial Narrow" w:cs="Arial"/>
          <w:color w:val="000000" w:themeColor="text1"/>
        </w:rPr>
        <w:t>a súčasne uvedie odkaz na dokument alebo relevantnú časť (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39"/>
        <w:gridCol w:w="7495"/>
        <w:gridCol w:w="1095"/>
        <w:gridCol w:w="4014"/>
      </w:tblGrid>
      <w:tr w:rsidR="002462D4" w:rsidRPr="00F23A87" w14:paraId="26596BCE" w14:textId="77777777" w:rsidTr="008B49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1C4536F1" w14:textId="77777777" w:rsidR="002462D4" w:rsidRPr="00F50271" w:rsidRDefault="002462D4" w:rsidP="008B4936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462D4" w:rsidRPr="00F23A87" w14:paraId="22B3B67E" w14:textId="77777777" w:rsidTr="00B77D1F">
        <w:trPr>
          <w:trHeight w:val="300"/>
        </w:trPr>
        <w:tc>
          <w:tcPr>
            <w:tcW w:w="174" w:type="pct"/>
            <w:vMerge w:val="restart"/>
            <w:shd w:val="clear" w:color="auto" w:fill="DEEAF6" w:themeFill="accent1" w:themeFillTint="33"/>
            <w:vAlign w:val="center"/>
          </w:tcPr>
          <w:p w14:paraId="4F8996C6" w14:textId="3E716C76" w:rsidR="002462D4" w:rsidRPr="002526E6" w:rsidRDefault="00A77A76" w:rsidP="008B493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2</w:t>
            </w:r>
            <w:r w:rsidR="002462D4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728" w:type="pct"/>
            <w:vMerge w:val="restart"/>
            <w:shd w:val="clear" w:color="auto" w:fill="DEEAF6" w:themeFill="accent1" w:themeFillTint="33"/>
            <w:vAlign w:val="center"/>
          </w:tcPr>
          <w:p w14:paraId="3D9D6605" w14:textId="79499138" w:rsidR="002462D4" w:rsidRPr="002526E6" w:rsidRDefault="002462D4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A77A7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Je projekt v súlade s </w:t>
            </w:r>
            <w:r w:rsidR="006311C0" w:rsidRPr="00B77D1F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N</w:t>
            </w:r>
            <w:r w:rsidR="006311C0" w:rsidRPr="00A77A7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árodným plánom širokopásmo</w:t>
            </w:r>
            <w:r w:rsidR="006311C0" w:rsidRPr="00B77D1F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vého pripojenia</w:t>
            </w:r>
            <w:r w:rsidR="00F459F2" w:rsidRPr="007B1E1C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?</w:t>
            </w:r>
          </w:p>
        </w:tc>
        <w:tc>
          <w:tcPr>
            <w:tcW w:w="2437" w:type="pct"/>
            <w:shd w:val="clear" w:color="auto" w:fill="DEEAF6" w:themeFill="accent1" w:themeFillTint="33"/>
            <w:vAlign w:val="center"/>
            <w:hideMark/>
          </w:tcPr>
          <w:p w14:paraId="5A5F979F" w14:textId="77777777" w:rsidR="002462D4" w:rsidRPr="00F50271" w:rsidRDefault="002462D4" w:rsidP="008B493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356" w:type="pct"/>
            <w:shd w:val="clear" w:color="auto" w:fill="DEEAF6" w:themeFill="accent1" w:themeFillTint="33"/>
            <w:vAlign w:val="center"/>
            <w:hideMark/>
          </w:tcPr>
          <w:p w14:paraId="20488562" w14:textId="77777777" w:rsidR="002462D4" w:rsidRPr="00F50271" w:rsidRDefault="002462D4" w:rsidP="008B493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305" w:type="pct"/>
            <w:shd w:val="clear" w:color="auto" w:fill="DEEAF6" w:themeFill="accent1" w:themeFillTint="33"/>
            <w:vAlign w:val="center"/>
            <w:hideMark/>
          </w:tcPr>
          <w:p w14:paraId="1931B32E" w14:textId="77777777" w:rsidR="002462D4" w:rsidRPr="00F50271" w:rsidRDefault="002462D4" w:rsidP="008B493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4C15E4" w:rsidRPr="00F23A87" w14:paraId="0FDD8CD1" w14:textId="77777777" w:rsidTr="00B77D1F">
        <w:trPr>
          <w:trHeight w:val="668"/>
        </w:trPr>
        <w:tc>
          <w:tcPr>
            <w:tcW w:w="174" w:type="pct"/>
            <w:vMerge/>
          </w:tcPr>
          <w:p w14:paraId="636CBDE3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28" w:type="pct"/>
            <w:vMerge/>
          </w:tcPr>
          <w:p w14:paraId="5DBD9D8E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37" w:type="pct"/>
            <w:vMerge w:val="restart"/>
            <w:shd w:val="clear" w:color="auto" w:fill="auto"/>
            <w:vAlign w:val="center"/>
          </w:tcPr>
          <w:p w14:paraId="4E524699" w14:textId="581D784A" w:rsidR="002462D4" w:rsidRPr="00D72856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Posudzuje sa súlad projektu</w:t>
            </w:r>
            <w:r w:rsidR="00D57F49">
              <w:rPr>
                <w:rFonts w:ascii="Arial Narrow" w:eastAsia="Times New Roman" w:hAnsi="Arial Narrow" w:cs="Arial"/>
                <w:lang w:eastAsia="sk-SK"/>
              </w:rPr>
              <w:t xml:space="preserve"> s</w:t>
            </w:r>
            <w:r w:rsidRPr="00F50271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6311C0">
              <w:rPr>
                <w:rFonts w:ascii="Arial Narrow" w:eastAsia="Times New Roman" w:hAnsi="Arial Narrow" w:cs="Arial"/>
                <w:lang w:eastAsia="sk-SK"/>
              </w:rPr>
              <w:t>Národným plánom širokopásmového pripojenia</w:t>
            </w:r>
            <w:r w:rsidR="00E519F1">
              <w:rPr>
                <w:rFonts w:ascii="Arial Narrow" w:eastAsia="Times New Roman" w:hAnsi="Arial Narrow" w:cs="Arial"/>
                <w:lang w:eastAsia="sk-SK"/>
              </w:rPr>
              <w:t xml:space="preserve"> vrátane záverov štúdie uskutočniteľnosti k Národnému plánu</w:t>
            </w:r>
            <w:r w:rsidR="00907739">
              <w:rPr>
                <w:rStyle w:val="Odkaznapoznmkupodiarou"/>
                <w:rFonts w:ascii="Arial Narrow" w:eastAsia="Times New Roman" w:hAnsi="Arial Narrow"/>
                <w:lang w:eastAsia="sk-SK"/>
              </w:rPr>
              <w:footnoteReference w:id="5"/>
            </w:r>
            <w:r>
              <w:rPr>
                <w:rFonts w:ascii="Arial Narrow" w:eastAsia="Times New Roman" w:hAnsi="Arial Narrow" w:cs="Arial"/>
                <w:lang w:eastAsia="sk-SK"/>
              </w:rPr>
              <w:t>.</w:t>
            </w:r>
          </w:p>
          <w:p w14:paraId="456B38A5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  <w:p w14:paraId="3D68DC58" w14:textId="77777777" w:rsidR="002462D4" w:rsidRPr="00F50271" w:rsidRDefault="002462D4" w:rsidP="008B493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7ADA03F7" w14:textId="77777777" w:rsidR="002462D4" w:rsidRPr="00F50271" w:rsidRDefault="002462D4" w:rsidP="008B493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8D71F6E" w14:textId="2F7F24D9" w:rsidR="002462D4" w:rsidRPr="00F50271" w:rsidRDefault="002462D4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Projekt je v</w:t>
            </w:r>
            <w:r w:rsidR="00E519F1">
              <w:rPr>
                <w:rFonts w:ascii="Arial Narrow" w:eastAsia="Times New Roman" w:hAnsi="Arial Narrow" w:cs="Arial"/>
                <w:lang w:eastAsia="sk-SK"/>
              </w:rPr>
              <w:t> súlade s Národným plánom širokopásmového pripojenia vrátane záverov štúdie uskutočniteľnosti k Národnému plánu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  <w:tr w:rsidR="002462D4" w:rsidRPr="00F23A87" w14:paraId="16266B8E" w14:textId="77777777" w:rsidTr="00B77D1F">
        <w:trPr>
          <w:trHeight w:val="2076"/>
        </w:trPr>
        <w:tc>
          <w:tcPr>
            <w:tcW w:w="174" w:type="pct"/>
            <w:vMerge/>
          </w:tcPr>
          <w:p w14:paraId="416FD6D6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28" w:type="pct"/>
            <w:vMerge/>
          </w:tcPr>
          <w:p w14:paraId="7A91B052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437" w:type="pct"/>
            <w:vMerge/>
            <w:shd w:val="clear" w:color="auto" w:fill="auto"/>
            <w:vAlign w:val="center"/>
          </w:tcPr>
          <w:p w14:paraId="42263F29" w14:textId="77777777" w:rsidR="002462D4" w:rsidRPr="00F50271" w:rsidRDefault="002462D4" w:rsidP="008B493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051EE05" w14:textId="77777777" w:rsidR="002462D4" w:rsidRPr="00F50271" w:rsidRDefault="002462D4" w:rsidP="008B493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22525C2" w14:textId="69DF03A6" w:rsidR="002462D4" w:rsidRPr="00F50271" w:rsidRDefault="00E519F1" w:rsidP="00FE53FA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 xml:space="preserve">Projekt </w:t>
            </w:r>
            <w:r w:rsidR="00D57F49">
              <w:rPr>
                <w:rFonts w:ascii="Arial Narrow" w:eastAsia="Times New Roman" w:hAnsi="Arial Narrow" w:cs="Arial"/>
                <w:lang w:eastAsia="sk-SK"/>
              </w:rPr>
              <w:t xml:space="preserve">nie </w:t>
            </w:r>
            <w:r w:rsidRPr="00F50271">
              <w:rPr>
                <w:rFonts w:ascii="Arial Narrow" w:eastAsia="Times New Roman" w:hAnsi="Arial Narrow" w:cs="Arial"/>
                <w:lang w:eastAsia="sk-SK"/>
              </w:rPr>
              <w:t>je v</w:t>
            </w:r>
            <w:r>
              <w:rPr>
                <w:rFonts w:ascii="Arial Narrow" w:eastAsia="Times New Roman" w:hAnsi="Arial Narrow" w:cs="Arial"/>
                <w:lang w:eastAsia="sk-SK"/>
              </w:rPr>
              <w:t> súlade s Národným plánom širokopásmového pripojenia vrátane záverov štúdie uskutočniteľnosti k Národnému plánu</w:t>
            </w:r>
            <w:r w:rsidRPr="00F50271">
              <w:rPr>
                <w:rFonts w:ascii="Arial Narrow" w:eastAsia="Times New Roman" w:hAnsi="Arial Narrow" w:cs="Arial"/>
                <w:i/>
                <w:lang w:eastAsia="sk-SK"/>
              </w:rPr>
              <w:t>.</w:t>
            </w:r>
          </w:p>
        </w:tc>
      </w:tr>
    </w:tbl>
    <w:p w14:paraId="1AF8056B" w14:textId="77777777" w:rsidR="00B77D1F" w:rsidRDefault="002D3029" w:rsidP="00B77D1F">
      <w:pPr>
        <w:spacing w:before="240"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color w:val="000000" w:themeColor="text1"/>
        </w:rPr>
        <w:t xml:space="preserve">Hodnotiteľ posudzuje najmä informácie uvedené v častiach 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>: 7. Popis projektu</w:t>
      </w:r>
      <w:r>
        <w:rPr>
          <w:rFonts w:ascii="Arial Narrow" w:hAnsi="Arial Narrow" w:cs="Arial"/>
          <w:color w:val="000000" w:themeColor="text1"/>
        </w:rPr>
        <w:t>.</w:t>
      </w:r>
    </w:p>
    <w:p w14:paraId="12310F6E" w14:textId="0CBF1E3F" w:rsidR="004C15E4" w:rsidRDefault="004C15E4" w:rsidP="004C15E4">
      <w:pPr>
        <w:spacing w:before="240" w:after="240" w:line="288" w:lineRule="auto"/>
        <w:jc w:val="both"/>
        <w:rPr>
          <w:rFonts w:ascii="Arial Narrow" w:eastAsia="Helvetica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Hodnotiteľ posudzuje, či obsahom projektu/</w:t>
      </w:r>
      <w:proofErr w:type="spellStart"/>
      <w:r>
        <w:rPr>
          <w:rFonts w:ascii="Arial Narrow" w:hAnsi="Arial Narrow" w:cs="Arial"/>
          <w:color w:val="000000" w:themeColor="text1"/>
        </w:rPr>
        <w:t>ŽoNFP</w:t>
      </w:r>
      <w:proofErr w:type="spellEnd"/>
      <w:r>
        <w:rPr>
          <w:rFonts w:ascii="Arial Narrow" w:hAnsi="Arial Narrow" w:cs="Arial"/>
          <w:color w:val="000000" w:themeColor="text1"/>
        </w:rPr>
        <w:t xml:space="preserve"> je príspevok k</w:t>
      </w:r>
      <w:r w:rsidR="00E519F1">
        <w:rPr>
          <w:rFonts w:ascii="Arial Narrow" w:hAnsi="Arial Narrow" w:cs="Arial"/>
          <w:color w:val="000000" w:themeColor="text1"/>
        </w:rPr>
        <w:t> niektorej z alternatív intervenčného modelu uvedeného v Národnom pláne širokopásmového pripojenia, resp. v štúdii uskutočniteľnosti</w:t>
      </w:r>
      <w:r w:rsidR="00A77A76">
        <w:rPr>
          <w:rFonts w:ascii="Arial Narrow" w:hAnsi="Arial Narrow" w:cs="Arial"/>
          <w:color w:val="000000" w:themeColor="text1"/>
        </w:rPr>
        <w:t xml:space="preserve"> k Národnému plánu</w:t>
      </w:r>
      <w:r>
        <w:rPr>
          <w:rFonts w:ascii="Arial Narrow" w:hAnsi="Arial Narrow" w:cs="Arial"/>
          <w:color w:val="000000" w:themeColor="text1"/>
        </w:rPr>
        <w:t xml:space="preserve">. </w:t>
      </w:r>
      <w:r w:rsidRPr="00691593">
        <w:rPr>
          <w:rFonts w:ascii="Arial Narrow" w:hAnsi="Arial Narrow" w:cs="Arial"/>
          <w:color w:val="000000" w:themeColor="text1"/>
        </w:rPr>
        <w:t>V prípade, že projekt/</w:t>
      </w:r>
      <w:proofErr w:type="spellStart"/>
      <w:r w:rsidRPr="00691593">
        <w:rPr>
          <w:rFonts w:ascii="Arial Narrow" w:hAnsi="Arial Narrow" w:cs="Arial"/>
          <w:color w:val="000000" w:themeColor="text1"/>
        </w:rPr>
        <w:t>ŽoNFP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 w:rsidRPr="00691593">
        <w:rPr>
          <w:rFonts w:ascii="Arial Narrow" w:hAnsi="Arial Narrow" w:cs="Arial"/>
          <w:color w:val="000000" w:themeColor="text1"/>
        </w:rPr>
        <w:t>prispieva</w:t>
      </w:r>
      <w:r w:rsidR="0065586B">
        <w:rPr>
          <w:rFonts w:ascii="Arial Narrow" w:hAnsi="Arial Narrow" w:cs="Arial"/>
          <w:color w:val="000000" w:themeColor="text1"/>
        </w:rPr>
        <w:t xml:space="preserve"> </w:t>
      </w:r>
      <w:r w:rsidRPr="00691593">
        <w:rPr>
          <w:rFonts w:ascii="Arial Narrow" w:hAnsi="Arial Narrow" w:cs="Arial"/>
          <w:color w:val="000000" w:themeColor="text1"/>
        </w:rPr>
        <w:t>k</w:t>
      </w:r>
      <w:r w:rsidR="00A77A76">
        <w:rPr>
          <w:rFonts w:ascii="Arial Narrow" w:hAnsi="Arial Narrow" w:cs="Arial"/>
          <w:color w:val="000000" w:themeColor="text1"/>
        </w:rPr>
        <w:t> niektorej z alternatív intervenčného modelu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, hodnotiteľ priradí odpoveď </w:t>
      </w:r>
      <w:r>
        <w:rPr>
          <w:rFonts w:ascii="Arial Narrow" w:eastAsia="Helvetica" w:hAnsi="Arial Narrow" w:cs="Arial"/>
          <w:b/>
          <w:color w:val="000000" w:themeColor="text1"/>
        </w:rPr>
        <w:t>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. </w:t>
      </w:r>
      <w:r w:rsidRPr="00CE4916">
        <w:rPr>
          <w:rFonts w:ascii="Arial Narrow" w:eastAsia="Helvetica" w:hAnsi="Arial Narrow" w:cs="Arial"/>
          <w:color w:val="000000" w:themeColor="text1"/>
        </w:rPr>
        <w:t>V</w:t>
      </w:r>
      <w:r w:rsidR="002D3029">
        <w:rPr>
          <w:rFonts w:ascii="Arial Narrow" w:eastAsia="Helvetica" w:hAnsi="Arial Narrow" w:cs="Arial"/>
          <w:color w:val="000000" w:themeColor="text1"/>
        </w:rPr>
        <w:t> </w:t>
      </w:r>
      <w:r w:rsidRPr="00CE4916">
        <w:rPr>
          <w:rFonts w:ascii="Arial Narrow" w:eastAsia="Helvetica" w:hAnsi="Arial Narrow" w:cs="Arial"/>
          <w:color w:val="000000" w:themeColor="text1"/>
        </w:rPr>
        <w:t>prípade</w:t>
      </w:r>
      <w:r w:rsidR="002D3029">
        <w:rPr>
          <w:rFonts w:ascii="Arial Narrow" w:eastAsia="Helvetica" w:hAnsi="Arial Narrow" w:cs="Arial"/>
          <w:color w:val="000000" w:themeColor="text1"/>
        </w:rPr>
        <w:t>,</w:t>
      </w:r>
      <w:r w:rsidRPr="00CE4916">
        <w:rPr>
          <w:rFonts w:ascii="Arial Narrow" w:eastAsia="Helvetica" w:hAnsi="Arial Narrow" w:cs="Arial"/>
          <w:color w:val="000000" w:themeColor="text1"/>
        </w:rPr>
        <w:t xml:space="preserve"> </w:t>
      </w:r>
      <w:r w:rsidR="003C4A08" w:rsidRPr="00CE4916">
        <w:rPr>
          <w:rFonts w:ascii="Arial Narrow" w:eastAsia="Helvetica" w:hAnsi="Arial Narrow" w:cs="Arial"/>
          <w:color w:val="000000" w:themeColor="text1"/>
        </w:rPr>
        <w:t>ak</w:t>
      </w:r>
      <w:r w:rsidR="003C4A08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="003C4A08" w:rsidRPr="00691593">
        <w:rPr>
          <w:rFonts w:ascii="Arial Narrow" w:hAnsi="Arial Narrow" w:cs="Arial"/>
          <w:color w:val="000000" w:themeColor="text1"/>
        </w:rPr>
        <w:t>projekt/</w:t>
      </w:r>
      <w:proofErr w:type="spellStart"/>
      <w:r w:rsidR="003C4A08" w:rsidRPr="00691593">
        <w:rPr>
          <w:rFonts w:ascii="Arial Narrow" w:hAnsi="Arial Narrow" w:cs="Arial"/>
          <w:color w:val="000000" w:themeColor="text1"/>
        </w:rPr>
        <w:t>ŽoNFP</w:t>
      </w:r>
      <w:proofErr w:type="spellEnd"/>
      <w:r w:rsidR="003C4A08">
        <w:rPr>
          <w:rFonts w:ascii="Arial Narrow" w:hAnsi="Arial Narrow" w:cs="Arial"/>
          <w:color w:val="000000" w:themeColor="text1"/>
        </w:rPr>
        <w:t xml:space="preserve"> nie je v súlade </w:t>
      </w:r>
      <w:r w:rsidR="00B30D96">
        <w:rPr>
          <w:rFonts w:ascii="Arial Narrow" w:hAnsi="Arial Narrow" w:cs="Arial"/>
          <w:color w:val="000000" w:themeColor="text1"/>
        </w:rPr>
        <w:t xml:space="preserve">so žiadnou </w:t>
      </w:r>
      <w:r w:rsidR="00FE53FA">
        <w:rPr>
          <w:rFonts w:ascii="Arial Narrow" w:hAnsi="Arial Narrow" w:cs="Arial"/>
          <w:color w:val="000000" w:themeColor="text1"/>
        </w:rPr>
        <w:t>z</w:t>
      </w:r>
      <w:r w:rsidR="00A77A76">
        <w:rPr>
          <w:rFonts w:ascii="Arial Narrow" w:hAnsi="Arial Narrow" w:cs="Arial"/>
          <w:color w:val="000000" w:themeColor="text1"/>
        </w:rPr>
        <w:t> alternatív intervenčného modelu</w:t>
      </w:r>
      <w:r w:rsidR="002D3029">
        <w:rPr>
          <w:rFonts w:ascii="Arial Narrow" w:hAnsi="Arial Narrow" w:cs="Arial"/>
          <w:color w:val="000000" w:themeColor="text1"/>
        </w:rPr>
        <w:t xml:space="preserve">, hodnotiteľ </w:t>
      </w:r>
      <w:r w:rsidRPr="00F50271">
        <w:rPr>
          <w:rFonts w:ascii="Arial Narrow" w:eastAsia="Helvetica" w:hAnsi="Arial Narrow" w:cs="Arial"/>
          <w:b/>
          <w:color w:val="000000" w:themeColor="text1"/>
        </w:rPr>
        <w:t>prirad</w:t>
      </w:r>
      <w:r>
        <w:rPr>
          <w:rFonts w:ascii="Arial Narrow" w:eastAsia="Helvetica" w:hAnsi="Arial Narrow" w:cs="Arial"/>
          <w:b/>
          <w:color w:val="000000" w:themeColor="text1"/>
        </w:rPr>
        <w:t>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  <w:r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Pr="007731B9">
        <w:rPr>
          <w:rFonts w:ascii="Arial Narrow" w:eastAsia="Helvetica" w:hAnsi="Arial Narrow" w:cs="Arial"/>
          <w:b/>
          <w:color w:val="000000" w:themeColor="text1"/>
        </w:rPr>
        <w:t>Hodnotiteľ svoju odpoveď zdôvodní</w:t>
      </w:r>
      <w:r w:rsidRPr="00F50388">
        <w:rPr>
          <w:rFonts w:ascii="Arial Narrow" w:eastAsia="Helvetica" w:hAnsi="Arial Narrow" w:cs="Arial"/>
          <w:color w:val="000000" w:themeColor="text1"/>
        </w:rPr>
        <w:t xml:space="preserve"> v hodnotiacom hárku odborného hodnotenia v časti „Komentár“ a súčasne uvedie odkaz na dokument alebo relevantnú časť (</w:t>
      </w:r>
      <w:proofErr w:type="spellStart"/>
      <w:r w:rsidRPr="00F50388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Pr="00F50388">
        <w:rPr>
          <w:rFonts w:ascii="Arial Narrow" w:eastAsia="Helvetica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48"/>
        <w:gridCol w:w="6662"/>
        <w:gridCol w:w="1276"/>
        <w:gridCol w:w="4755"/>
      </w:tblGrid>
      <w:tr w:rsidR="002526E6" w:rsidRPr="00F23A87" w14:paraId="536C1AE6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25875246" w14:textId="59958579" w:rsidR="002526E6" w:rsidRPr="00F50271" w:rsidRDefault="002526E6" w:rsidP="00504909">
            <w:pPr>
              <w:spacing w:after="0" w:line="240" w:lineRule="auto"/>
              <w:ind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Hodnotiace kritérium</w:t>
            </w:r>
          </w:p>
        </w:tc>
      </w:tr>
      <w:tr w:rsidR="002526E6" w:rsidRPr="00F23A87" w14:paraId="4CB6B8AA" w14:textId="77777777" w:rsidTr="00B77D1F">
        <w:trPr>
          <w:trHeight w:val="300"/>
        </w:trPr>
        <w:tc>
          <w:tcPr>
            <w:tcW w:w="142" w:type="pct"/>
            <w:vMerge w:val="restart"/>
            <w:shd w:val="clear" w:color="auto" w:fill="DEEAF6" w:themeFill="accent1" w:themeFillTint="33"/>
            <w:vAlign w:val="center"/>
          </w:tcPr>
          <w:p w14:paraId="696C3742" w14:textId="07B1F6CA" w:rsidR="002526E6" w:rsidRPr="00F50271" w:rsidRDefault="00A77A7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3</w:t>
            </w:r>
            <w:r w:rsidR="002526E6"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731" w:type="pct"/>
            <w:vMerge w:val="restart"/>
            <w:shd w:val="clear" w:color="auto" w:fill="DEEAF6" w:themeFill="accent1" w:themeFillTint="33"/>
            <w:vAlign w:val="center"/>
          </w:tcPr>
          <w:p w14:paraId="2416F8F2" w14:textId="10580C5B" w:rsidR="002526E6" w:rsidRPr="00F50271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504909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Vhodnosť navrhovaných aktivít z vecného a časového hľadiska</w:t>
            </w:r>
          </w:p>
        </w:tc>
        <w:tc>
          <w:tcPr>
            <w:tcW w:w="2166" w:type="pct"/>
            <w:shd w:val="clear" w:color="auto" w:fill="DEEAF6" w:themeFill="accent1" w:themeFillTint="33"/>
            <w:vAlign w:val="center"/>
            <w:hideMark/>
          </w:tcPr>
          <w:p w14:paraId="7550D0BA" w14:textId="4E40B971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  <w:hideMark/>
          </w:tcPr>
          <w:p w14:paraId="38647458" w14:textId="77777777" w:rsidR="002526E6" w:rsidRPr="00F50271" w:rsidRDefault="002526E6" w:rsidP="002526E6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46" w:type="pct"/>
            <w:shd w:val="clear" w:color="auto" w:fill="DEEAF6" w:themeFill="accent1" w:themeFillTint="33"/>
            <w:vAlign w:val="center"/>
            <w:hideMark/>
          </w:tcPr>
          <w:p w14:paraId="00D028B8" w14:textId="77777777" w:rsidR="002526E6" w:rsidRPr="00F50271" w:rsidRDefault="002526E6" w:rsidP="002526E6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F23A87" w14:paraId="5A6AB072" w14:textId="77777777" w:rsidTr="00B77D1F">
        <w:trPr>
          <w:trHeight w:val="545"/>
        </w:trPr>
        <w:tc>
          <w:tcPr>
            <w:tcW w:w="142" w:type="pct"/>
            <w:vMerge/>
          </w:tcPr>
          <w:p w14:paraId="488A7853" w14:textId="77777777" w:rsidR="002526E6" w:rsidRPr="00504909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1847EC1C" w14:textId="7CEA6DFD" w:rsidR="002526E6" w:rsidRPr="00504909" w:rsidRDefault="002526E6" w:rsidP="002526E6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166" w:type="pct"/>
            <w:vMerge w:val="restart"/>
            <w:shd w:val="clear" w:color="auto" w:fill="auto"/>
            <w:vAlign w:val="center"/>
          </w:tcPr>
          <w:p w14:paraId="3D9D9912" w14:textId="3A0469A5" w:rsidR="002526E6" w:rsidRPr="00F50271" w:rsidRDefault="002526E6" w:rsidP="0059503F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504909">
              <w:rPr>
                <w:rFonts w:ascii="Arial Narrow" w:eastAsia="Times New Roman" w:hAnsi="Arial Narrow" w:cs="Arial"/>
                <w:lang w:eastAsia="sk-SK"/>
              </w:rPr>
              <w:t xml:space="preserve">Posudzuje sa kvalitatívna úroveň a využiteľnosť výstupov projektu, účinnosť a logická previazanosť aktivít projektu, 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chronologická nadväznosť aktivít projektu,</w:t>
            </w:r>
            <w:r w:rsidR="00907739" w:rsidRPr="00CE4916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62463B" w:rsidRPr="00CE4916">
              <w:rPr>
                <w:rFonts w:ascii="Arial Narrow" w:eastAsia="Times New Roman" w:hAnsi="Arial Narrow" w:cs="Arial"/>
                <w:lang w:eastAsia="sk-SK"/>
              </w:rPr>
              <w:t>odborná</w:t>
            </w:r>
            <w:r w:rsidR="00907739" w:rsidRPr="00CE4916">
              <w:rPr>
                <w:rFonts w:ascii="Arial Narrow" w:eastAsia="Times New Roman" w:hAnsi="Arial Narrow" w:cs="Arial"/>
                <w:lang w:eastAsia="sk-SK"/>
              </w:rPr>
              <w:t xml:space="preserve"> kapacita implementačného tímu projektu,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 vhodnosť a reálnosť dĺžky trvania jednotlivých</w:t>
            </w:r>
            <w:r w:rsidRPr="00504909">
              <w:rPr>
                <w:rFonts w:ascii="Arial Narrow" w:eastAsia="Times New Roman" w:hAnsi="Arial Narrow" w:cs="Arial"/>
                <w:lang w:eastAsia="sk-SK"/>
              </w:rPr>
              <w:t xml:space="preserve"> aktivít, súlad časového plánu s ďalšou súvisiacou dokumentáciou</w:t>
            </w:r>
            <w:r w:rsidR="005F5FAF">
              <w:rPr>
                <w:rFonts w:ascii="Arial Narrow" w:eastAsia="Times New Roman" w:hAnsi="Arial Narrow" w:cs="Arial"/>
                <w:lang w:eastAsia="sk-SK"/>
              </w:rPr>
              <w:t xml:space="preserve"> (napr. prílohy </w:t>
            </w:r>
            <w:proofErr w:type="spellStart"/>
            <w:r w:rsidR="005F5FAF">
              <w:rPr>
                <w:rFonts w:ascii="Arial Narrow" w:eastAsia="Times New Roman" w:hAnsi="Arial Narrow" w:cs="Arial"/>
                <w:lang w:eastAsia="sk-SK"/>
              </w:rPr>
              <w:t>ŽoNFP</w:t>
            </w:r>
            <w:proofErr w:type="spellEnd"/>
            <w:r w:rsidR="005F5FAF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4566D9">
              <w:rPr>
                <w:rFonts w:ascii="Arial Narrow" w:eastAsia="Times New Roman" w:hAnsi="Arial Narrow" w:cs="Arial"/>
                <w:lang w:eastAsia="sk-SK"/>
              </w:rPr>
              <w:t xml:space="preserve"> vrátane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reálnosti a primeranosti nastavenia hodnôt 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merateľných ukazovateľov 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voči 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>výšk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3509D1" w:rsidRPr="00184F74">
              <w:rPr>
                <w:rFonts w:ascii="Arial Narrow" w:eastAsia="Times New Roman" w:hAnsi="Arial Narrow" w:cs="Arial"/>
                <w:lang w:eastAsia="sk-SK"/>
              </w:rPr>
              <w:t xml:space="preserve"> žiadaného NFP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 xml:space="preserve"> a rozsahu </w:t>
            </w:r>
            <w:r w:rsidR="0059503F">
              <w:rPr>
                <w:rFonts w:ascii="Arial Narrow" w:eastAsia="Times New Roman" w:hAnsi="Arial Narrow" w:cs="Arial"/>
                <w:lang w:eastAsia="sk-SK"/>
              </w:rPr>
              <w:t>aktivít projektu</w:t>
            </w:r>
            <w:r w:rsidR="003509D1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2062E1D" w14:textId="77777777" w:rsidR="002526E6" w:rsidRPr="00F50271" w:rsidRDefault="002526E6" w:rsidP="002526E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22401ED" w14:textId="5BF86DAD" w:rsidR="002526E6" w:rsidRPr="00504909" w:rsidRDefault="002526E6" w:rsidP="00D21F1A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i/>
                <w:lang w:eastAsia="sk-SK"/>
              </w:rPr>
            </w:pPr>
            <w:r w:rsidRPr="00504909">
              <w:rPr>
                <w:rFonts w:ascii="Arial Narrow" w:eastAsia="Helvetica" w:hAnsi="Arial Narrow" w:cs="Arial"/>
                <w:color w:val="000000" w:themeColor="text1"/>
              </w:rPr>
              <w:t xml:space="preserve">Navrhovaný spôsob realizácie </w:t>
            </w:r>
            <w:r w:rsidR="001F40A4">
              <w:rPr>
                <w:rFonts w:ascii="Arial Narrow" w:eastAsia="Helvetica" w:hAnsi="Arial Narrow" w:cs="Arial"/>
                <w:color w:val="000000" w:themeColor="text1"/>
              </w:rPr>
              <w:t xml:space="preserve">všetkých </w:t>
            </w:r>
            <w:r w:rsidRPr="00504909">
              <w:rPr>
                <w:rFonts w:ascii="Arial Narrow" w:eastAsia="Helvetica" w:hAnsi="Arial Narrow" w:cs="Arial"/>
                <w:color w:val="000000" w:themeColor="text1"/>
              </w:rPr>
              <w:t xml:space="preserve">aktivít umožňuje dosiahnutie výstupov projektu v navrhovanom rozsahu, aktivity projektu majú logickú vzájomnú súvislosť, </w:t>
            </w:r>
            <w:r w:rsidR="00756D53">
              <w:rPr>
                <w:rFonts w:ascii="Arial Narrow" w:eastAsia="Helvetica" w:hAnsi="Arial Narrow" w:cs="Arial"/>
                <w:color w:val="000000" w:themeColor="text1"/>
              </w:rPr>
              <w:t xml:space="preserve">žiadateľ má dostatočnú </w:t>
            </w:r>
            <w:r w:rsidR="00D21F1A">
              <w:rPr>
                <w:rFonts w:ascii="Arial Narrow" w:eastAsia="Helvetica" w:hAnsi="Arial Narrow" w:cs="Arial"/>
                <w:color w:val="000000" w:themeColor="text1"/>
              </w:rPr>
              <w:t>odbornú</w:t>
            </w:r>
            <w:r w:rsidR="00756D53">
              <w:rPr>
                <w:rFonts w:ascii="Arial Narrow" w:eastAsia="Helvetica" w:hAnsi="Arial Narrow" w:cs="Arial"/>
                <w:color w:val="000000" w:themeColor="text1"/>
              </w:rPr>
              <w:t xml:space="preserve"> kapacitu implementačného tímu projektu, </w:t>
            </w:r>
            <w:r w:rsidRPr="00504909">
              <w:rPr>
                <w:rFonts w:ascii="Arial Narrow" w:eastAsia="Helvetica" w:hAnsi="Arial Narrow" w:cs="Arial"/>
                <w:color w:val="000000" w:themeColor="text1"/>
              </w:rPr>
              <w:t>časové lehoty realizácie aktivít sú reálne a sú v súlade so súvisiacou dokumentáciou</w:t>
            </w:r>
            <w:r w:rsidR="002D3029">
              <w:rPr>
                <w:rFonts w:ascii="Arial Narrow" w:eastAsia="Helvetica" w:hAnsi="Arial Narrow" w:cs="Arial"/>
                <w:color w:val="000000" w:themeColor="text1"/>
              </w:rPr>
              <w:t xml:space="preserve"> (napr. prílohy </w:t>
            </w:r>
            <w:proofErr w:type="spellStart"/>
            <w:r w:rsidR="00962204">
              <w:rPr>
                <w:rFonts w:ascii="Arial Narrow" w:eastAsia="Helvetica" w:hAnsi="Arial Narrow" w:cs="Arial"/>
                <w:color w:val="000000" w:themeColor="text1"/>
              </w:rPr>
              <w:t>Ž</w:t>
            </w:r>
            <w:r w:rsidR="002D3029">
              <w:rPr>
                <w:rFonts w:ascii="Arial Narrow" w:eastAsia="Helvetica" w:hAnsi="Arial Narrow" w:cs="Arial"/>
                <w:color w:val="000000" w:themeColor="text1"/>
              </w:rPr>
              <w:t>oNFP</w:t>
            </w:r>
            <w:proofErr w:type="spellEnd"/>
            <w:r w:rsidR="002D3029">
              <w:rPr>
                <w:rFonts w:ascii="Arial Narrow" w:eastAsia="Helvetica" w:hAnsi="Arial Narrow" w:cs="Arial"/>
                <w:color w:val="000000" w:themeColor="text1"/>
              </w:rPr>
              <w:t>)</w:t>
            </w:r>
            <w:r w:rsidR="0059503F">
              <w:rPr>
                <w:rFonts w:ascii="Arial Narrow" w:eastAsia="Helvetica" w:hAnsi="Arial Narrow" w:cs="Arial"/>
                <w:color w:val="000000" w:themeColor="text1"/>
              </w:rPr>
              <w:t>, hodnoty merateľných ukazovatele sú reálne a primerané voči výške žiadaného NFP a rozsahu aktivít.</w:t>
            </w:r>
          </w:p>
        </w:tc>
      </w:tr>
      <w:tr w:rsidR="002526E6" w:rsidRPr="00F23A87" w14:paraId="18B7B4FB" w14:textId="77777777" w:rsidTr="00B77D1F">
        <w:trPr>
          <w:trHeight w:val="555"/>
        </w:trPr>
        <w:tc>
          <w:tcPr>
            <w:tcW w:w="142" w:type="pct"/>
            <w:vMerge/>
          </w:tcPr>
          <w:p w14:paraId="7E7F83A6" w14:textId="77777777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731" w:type="pct"/>
            <w:vMerge/>
          </w:tcPr>
          <w:p w14:paraId="3048CB7C" w14:textId="60322342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166" w:type="pct"/>
            <w:vMerge/>
            <w:shd w:val="clear" w:color="auto" w:fill="auto"/>
            <w:vAlign w:val="center"/>
          </w:tcPr>
          <w:p w14:paraId="49FFECF7" w14:textId="1A39A3AC" w:rsidR="002526E6" w:rsidRPr="00F50271" w:rsidRDefault="002526E6" w:rsidP="002526E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A329A9E" w14:textId="77777777" w:rsidR="002526E6" w:rsidRPr="00F50271" w:rsidRDefault="002526E6" w:rsidP="002526E6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B08703C" w14:textId="1D3E7D27" w:rsidR="0059503F" w:rsidRDefault="002526E6" w:rsidP="0059503F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264DCC">
              <w:rPr>
                <w:rFonts w:ascii="Arial Narrow" w:eastAsia="Times New Roman" w:hAnsi="Arial Narrow" w:cs="Arial"/>
                <w:lang w:eastAsia="sk-SK"/>
              </w:rPr>
              <w:t xml:space="preserve">Navrhovaný spôsob realizácie aktivít vykazuje </w:t>
            </w:r>
            <w:r w:rsidR="0046662C" w:rsidRPr="00CE4916">
              <w:rPr>
                <w:rFonts w:ascii="Arial Narrow" w:eastAsia="Times New Roman" w:hAnsi="Arial Narrow" w:cs="Arial"/>
                <w:b/>
                <w:lang w:eastAsia="sk-SK"/>
              </w:rPr>
              <w:t>aspoň jeden</w:t>
            </w:r>
            <w:r w:rsidR="0046662C">
              <w:rPr>
                <w:rFonts w:ascii="Arial Narrow" w:eastAsia="Times New Roman" w:hAnsi="Arial Narrow" w:cs="Arial"/>
                <w:b/>
                <w:lang w:eastAsia="sk-SK"/>
              </w:rPr>
              <w:t xml:space="preserve"> z </w:t>
            </w:r>
            <w:r w:rsidRPr="00EE694F">
              <w:rPr>
                <w:rFonts w:ascii="Arial Narrow" w:eastAsia="Times New Roman" w:hAnsi="Arial Narrow" w:cs="Arial"/>
                <w:b/>
                <w:lang w:eastAsia="sk-SK"/>
              </w:rPr>
              <w:t>nasledovných nedostatkov</w:t>
            </w:r>
            <w:r w:rsidR="0059503F">
              <w:rPr>
                <w:rFonts w:ascii="Arial Narrow" w:eastAsia="Times New Roman" w:hAnsi="Arial Narrow" w:cs="Arial"/>
                <w:lang w:eastAsia="sk-SK"/>
              </w:rPr>
              <w:t>, ktoré môžu mať vplyv na dodržanie žiadateľom stanovenej dĺžky realizácie projektu/ohrozenie dosiahnutia cieľa a výsledkov projektu</w:t>
            </w:r>
            <w:r w:rsidRPr="00264DCC">
              <w:rPr>
                <w:rFonts w:ascii="Arial Narrow" w:eastAsia="Times New Roman" w:hAnsi="Arial Narrow" w:cs="Arial"/>
                <w:lang w:eastAsia="sk-SK"/>
              </w:rPr>
              <w:t xml:space="preserve">: </w:t>
            </w:r>
          </w:p>
          <w:p w14:paraId="799D7EAB" w14:textId="77777777" w:rsidR="0059503F" w:rsidRPr="00EE694F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neumožňuje dosiahnutie výstupov projektu v navrhovanom rozsahu, </w:t>
            </w:r>
          </w:p>
          <w:p w14:paraId="56CED654" w14:textId="77777777" w:rsidR="0059503F" w:rsidRPr="00EE694F" w:rsidRDefault="002526E6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aktivity projektu nie sú v plnej miere logicky previazané, </w:t>
            </w:r>
          </w:p>
          <w:p w14:paraId="0CB8618C" w14:textId="0153EFDA" w:rsidR="0059503F" w:rsidRPr="007D05DA" w:rsidRDefault="002526E6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časové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lehoty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realizácie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aktivít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nie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sú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reálne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nie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sú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chronologicky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7D05DA">
              <w:rPr>
                <w:rFonts w:ascii="Arial Narrow" w:eastAsia="Times New Roman" w:hAnsi="Arial Narrow" w:cs="Arial"/>
                <w:lang w:eastAsia="sk-SK"/>
              </w:rPr>
              <w:t>usporiadané</w:t>
            </w:r>
            <w:proofErr w:type="spellEnd"/>
            <w:r w:rsidRPr="007D05DA"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r w:rsidRPr="007D05DA">
              <w:rPr>
                <w:rFonts w:ascii="Arial Narrow" w:eastAsia="Times New Roman" w:hAnsi="Arial Narrow" w:cs="Arial"/>
                <w:lang w:val="sk-SK" w:eastAsia="sk-SK"/>
              </w:rPr>
              <w:t>nie sú v súlade so súvisiacou dokumentáciou</w:t>
            </w:r>
            <w:r w:rsidR="002D3029">
              <w:rPr>
                <w:rFonts w:ascii="Arial Narrow" w:eastAsia="Times New Roman" w:hAnsi="Arial Narrow" w:cs="Arial"/>
                <w:lang w:val="sk-SK" w:eastAsia="sk-SK"/>
              </w:rPr>
              <w:t xml:space="preserve"> (napr. prílohy </w:t>
            </w:r>
            <w:proofErr w:type="spellStart"/>
            <w:r w:rsidR="002D3029">
              <w:rPr>
                <w:rFonts w:ascii="Arial Narrow" w:eastAsia="Times New Roman" w:hAnsi="Arial Narrow" w:cs="Arial"/>
                <w:lang w:val="sk-SK" w:eastAsia="sk-SK"/>
              </w:rPr>
              <w:t>ŽoNFP</w:t>
            </w:r>
            <w:proofErr w:type="spellEnd"/>
            <w:r w:rsidR="002D3029">
              <w:rPr>
                <w:rFonts w:ascii="Arial Narrow" w:eastAsia="Times New Roman" w:hAnsi="Arial Narrow" w:cs="Arial"/>
                <w:lang w:val="sk-SK" w:eastAsia="sk-SK"/>
              </w:rPr>
              <w:t>)</w:t>
            </w:r>
            <w:r w:rsidR="0059503F" w:rsidRPr="007D05DA">
              <w:rPr>
                <w:rFonts w:ascii="Arial Narrow" w:eastAsia="Times New Roman" w:hAnsi="Arial Narrow" w:cs="Arial"/>
                <w:lang w:val="sk-SK" w:eastAsia="sk-SK"/>
              </w:rPr>
              <w:t>,</w:t>
            </w:r>
          </w:p>
          <w:p w14:paraId="38C88BFA" w14:textId="77777777" w:rsidR="00756D53" w:rsidRPr="00CE4916" w:rsidRDefault="0059503F" w:rsidP="00EE694F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hodnoty merateľných ukazovateľov nie sú </w:t>
            </w:r>
            <w:r w:rsidR="00EE694F">
              <w:rPr>
                <w:rFonts w:ascii="Arial Narrow" w:eastAsia="Times New Roman" w:hAnsi="Arial Narrow" w:cs="Arial"/>
                <w:lang w:val="sk-SK" w:eastAsia="sk-SK"/>
              </w:rPr>
              <w:t xml:space="preserve">vecne a časovo </w:t>
            </w: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>reálne a primerané voči výške žiadaného N</w:t>
            </w:r>
            <w:r>
              <w:rPr>
                <w:rFonts w:ascii="Arial Narrow" w:eastAsia="Times New Roman" w:hAnsi="Arial Narrow" w:cs="Arial"/>
                <w:lang w:val="sk-SK" w:eastAsia="sk-SK"/>
              </w:rPr>
              <w:t>F</w:t>
            </w:r>
            <w:r w:rsidRPr="00EE694F">
              <w:rPr>
                <w:rFonts w:ascii="Arial Narrow" w:eastAsia="Times New Roman" w:hAnsi="Arial Narrow" w:cs="Arial"/>
                <w:lang w:val="sk-SK" w:eastAsia="sk-SK"/>
              </w:rPr>
              <w:t xml:space="preserve">P a rozsahu </w:t>
            </w:r>
            <w:r w:rsidRPr="00CE4916">
              <w:rPr>
                <w:rFonts w:ascii="Arial Narrow" w:eastAsia="Times New Roman" w:hAnsi="Arial Narrow" w:cs="Arial"/>
                <w:lang w:val="sk-SK" w:eastAsia="sk-SK"/>
              </w:rPr>
              <w:t>aktivít</w:t>
            </w:r>
          </w:p>
          <w:p w14:paraId="026285E8" w14:textId="713FD2A7" w:rsidR="002526E6" w:rsidRPr="00EE694F" w:rsidRDefault="00756D53" w:rsidP="0062463B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val="sk-SK" w:eastAsia="sk-SK"/>
              </w:rPr>
              <w:t xml:space="preserve">nepreukázanie </w:t>
            </w:r>
            <w:r w:rsidR="0062463B" w:rsidRPr="00CE4916">
              <w:rPr>
                <w:rFonts w:ascii="Arial Narrow" w:eastAsia="Times New Roman" w:hAnsi="Arial Narrow" w:cs="Arial"/>
                <w:lang w:val="sk-SK" w:eastAsia="sk-SK"/>
              </w:rPr>
              <w:t xml:space="preserve"> odbornej</w:t>
            </w:r>
            <w:r w:rsidRPr="00CE4916">
              <w:rPr>
                <w:rFonts w:ascii="Arial Narrow" w:eastAsia="Times New Roman" w:hAnsi="Arial Narrow" w:cs="Arial"/>
                <w:lang w:val="sk-SK" w:eastAsia="sk-SK"/>
              </w:rPr>
              <w:t xml:space="preserve"> kapacity implementačného tímu</w:t>
            </w:r>
            <w:r w:rsidR="0059503F" w:rsidRPr="008D16C5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4CD5EA86" w14:textId="77777777" w:rsidR="00184F74" w:rsidRDefault="00184F74" w:rsidP="00184F74">
      <w:pPr>
        <w:spacing w:after="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</w:p>
    <w:p w14:paraId="3B8A587C" w14:textId="05CA80F6" w:rsidR="00390BEE" w:rsidRPr="00264DCC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Hodnotiteľ posudzuje informácie uvedené v častiach </w:t>
      </w:r>
      <w:proofErr w:type="spellStart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: 7.2 Spôsob realizácie aktivít projektu, 9. Harmonogram realizácie aktivít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="0012573E" w:rsidRPr="00F50271">
        <w:rPr>
          <w:rFonts w:ascii="Arial Narrow" w:hAnsi="Arial Narrow" w:cs="Arial"/>
          <w:color w:val="000000" w:themeColor="text1"/>
        </w:rPr>
        <w:t>10.1 Aktivity projektu a očakávané merateľné ukazovatele</w:t>
      </w:r>
      <w:r w:rsidR="0012573E">
        <w:rPr>
          <w:rFonts w:ascii="Arial Narrow" w:hAnsi="Arial Narrow" w:cs="Arial"/>
          <w:color w:val="000000" w:themeColor="text1"/>
        </w:rPr>
        <w:t>.</w:t>
      </w:r>
    </w:p>
    <w:p w14:paraId="4571659D" w14:textId="77777777" w:rsidR="00390BEE" w:rsidRPr="00264DCC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Hodnotiteľ posudzuje najmä plnenie nasledovných oblastí:</w:t>
      </w:r>
    </w:p>
    <w:p w14:paraId="2A540656" w14:textId="77777777" w:rsidR="00390BEE" w:rsidRPr="00264DCC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jednotlivé aktivity, resp. čiastkové práce na projekte na seba vecne a logicky nadväzujú,</w:t>
      </w:r>
    </w:p>
    <w:p w14:paraId="02CD4297" w14:textId="64439DAE" w:rsidR="00390BEE" w:rsidRPr="0012573E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12573E">
        <w:rPr>
          <w:rFonts w:ascii="Arial Narrow" w:eastAsiaTheme="majorEastAsia" w:hAnsi="Arial Narrow" w:cs="Arial"/>
          <w:color w:val="000000" w:themeColor="text1"/>
          <w:lang w:bidi="en-US"/>
        </w:rPr>
        <w:t>dĺžka trvania jednotlivých aktivít je realistická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 a umožňuje dosiahnutie výstupov projektu v navrhovanom rozsahu,</w:t>
      </w:r>
    </w:p>
    <w:p w14:paraId="46460162" w14:textId="13CAD017" w:rsidR="00CA38A2" w:rsidRDefault="00390BEE" w:rsidP="00E75A52">
      <w:pPr>
        <w:numPr>
          <w:ilvl w:val="0"/>
          <w:numId w:val="35"/>
        </w:numPr>
        <w:spacing w:after="0"/>
        <w:ind w:left="993" w:hanging="426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časové obdobie realizácie projektu je v súlade s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>o súvisiacou dokumentáciou</w:t>
      </w:r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 xml:space="preserve"> (napr. prílohy </w:t>
      </w:r>
      <w:proofErr w:type="spellStart"/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962204">
        <w:rPr>
          <w:rFonts w:ascii="Arial Narrow" w:eastAsiaTheme="majorEastAsia" w:hAnsi="Arial Narrow" w:cs="Arial"/>
          <w:color w:val="000000" w:themeColor="text1"/>
          <w:lang w:bidi="en-US"/>
        </w:rPr>
        <w:t>)</w:t>
      </w:r>
      <w:r w:rsidR="0012573E">
        <w:rPr>
          <w:rFonts w:ascii="Arial Narrow" w:eastAsiaTheme="majorEastAsia" w:hAnsi="Arial Narrow" w:cs="Arial"/>
          <w:color w:val="000000" w:themeColor="text1"/>
          <w:lang w:bidi="en-US"/>
        </w:rPr>
        <w:t xml:space="preserve">, 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ďalšími lehotami vyplývajúcimi z legislatívy SR, relevantnými zmluvnými vzťahmi, resp. relevantnými povoleniami súvi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siacimi s realizáciou projektu (ak relevantné)</w:t>
      </w:r>
      <w:r w:rsidR="00CA38A2">
        <w:rPr>
          <w:rFonts w:ascii="Arial Narrow" w:eastAsiaTheme="majorEastAsia" w:hAnsi="Arial Narrow" w:cs="Arial"/>
          <w:color w:val="000000" w:themeColor="text1"/>
          <w:lang w:bidi="en-US"/>
        </w:rPr>
        <w:t>,</w:t>
      </w:r>
    </w:p>
    <w:p w14:paraId="41BFF14A" w14:textId="4B44877E" w:rsidR="00CA38A2" w:rsidRPr="00CE4916" w:rsidRDefault="00CA38A2" w:rsidP="00E75A52">
      <w:pPr>
        <w:numPr>
          <w:ilvl w:val="0"/>
          <w:numId w:val="35"/>
        </w:numPr>
        <w:spacing w:after="0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hodnoty merateľných ukazovateľov sú </w:t>
      </w:r>
      <w:r w:rsidR="00EE694F" w:rsidRPr="00CE4916">
        <w:rPr>
          <w:rFonts w:ascii="Arial Narrow" w:eastAsia="Helvetica" w:hAnsi="Arial Narrow" w:cs="Arial"/>
          <w:color w:val="000000" w:themeColor="text1"/>
        </w:rPr>
        <w:t xml:space="preserve">reálne a </w:t>
      </w:r>
      <w:r w:rsidRPr="00CE4916">
        <w:rPr>
          <w:rFonts w:ascii="Arial Narrow" w:eastAsia="Helvetica" w:hAnsi="Arial Narrow" w:cs="Arial"/>
          <w:color w:val="000000" w:themeColor="text1"/>
        </w:rPr>
        <w:t>vecne dosiahnuteľné realizáciou navrhovaných aktivít,</w:t>
      </w:r>
    </w:p>
    <w:p w14:paraId="1F13D6C2" w14:textId="0E699B69" w:rsidR="00756D53" w:rsidRPr="00CE4916" w:rsidRDefault="00CA38A2" w:rsidP="00CE4916">
      <w:pPr>
        <w:numPr>
          <w:ilvl w:val="0"/>
          <w:numId w:val="35"/>
        </w:numPr>
        <w:spacing w:after="0" w:line="240" w:lineRule="auto"/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hodnoty merateľných ukazovateľov sú časovo dosiahnuteľné v rámci plánovaného harmonogramu realizácie aktivít </w:t>
      </w:r>
      <w:proofErr w:type="spellStart"/>
      <w:r w:rsidRPr="00CE4916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756D53" w:rsidRPr="00CE4916">
        <w:rPr>
          <w:rFonts w:ascii="Arial Narrow" w:eastAsia="Helvetica" w:hAnsi="Arial Narrow" w:cs="Arial"/>
          <w:color w:val="000000" w:themeColor="text1"/>
        </w:rPr>
        <w:t>,</w:t>
      </w:r>
    </w:p>
    <w:p w14:paraId="7B988044" w14:textId="0C2537E5" w:rsidR="00CA38A2" w:rsidRPr="00CE4916" w:rsidRDefault="00040728" w:rsidP="00E75A52">
      <w:pPr>
        <w:numPr>
          <w:ilvl w:val="0"/>
          <w:numId w:val="35"/>
        </w:numPr>
        <w:ind w:left="993" w:hanging="426"/>
        <w:rPr>
          <w:rFonts w:ascii="Arial Narrow" w:eastAsia="Helvetica" w:hAnsi="Arial Narrow" w:cs="Arial"/>
          <w:color w:val="000000" w:themeColor="text1"/>
        </w:rPr>
      </w:pPr>
      <w:r w:rsidRPr="00CE4916">
        <w:rPr>
          <w:rFonts w:ascii="Arial Narrow" w:eastAsia="Helvetica" w:hAnsi="Arial Narrow" w:cs="Arial"/>
          <w:color w:val="000000" w:themeColor="text1"/>
        </w:rPr>
        <w:t xml:space="preserve">odborná </w:t>
      </w:r>
      <w:r w:rsidR="00756D53" w:rsidRPr="00CE4916">
        <w:rPr>
          <w:rFonts w:ascii="Arial Narrow" w:eastAsia="Helvetica" w:hAnsi="Arial Narrow" w:cs="Arial"/>
          <w:color w:val="000000" w:themeColor="text1"/>
        </w:rPr>
        <w:t>kapacita implementačného tímu projektu</w:t>
      </w:r>
      <w:r w:rsidR="00CA38A2" w:rsidRPr="00CE4916">
        <w:rPr>
          <w:rFonts w:ascii="Arial Narrow" w:eastAsia="Helvetica" w:hAnsi="Arial Narrow" w:cs="Arial"/>
          <w:color w:val="000000" w:themeColor="text1"/>
        </w:rPr>
        <w:t>.</w:t>
      </w:r>
    </w:p>
    <w:p w14:paraId="3169579F" w14:textId="00DCE95A" w:rsidR="00390BEE" w:rsidRPr="00264DCC" w:rsidRDefault="00264DCC" w:rsidP="00EE694F">
      <w:pPr>
        <w:spacing w:after="120"/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F50271">
        <w:rPr>
          <w:rFonts w:ascii="Arial Narrow" w:hAnsi="Arial Narrow" w:cs="Arial"/>
          <w:b/>
          <w:color w:val="000000" w:themeColor="text1"/>
        </w:rPr>
        <w:t xml:space="preserve">V prípade, že </w:t>
      </w:r>
      <w:proofErr w:type="spellStart"/>
      <w:r w:rsidRPr="00F50271">
        <w:rPr>
          <w:rFonts w:ascii="Arial Narrow" w:hAnsi="Arial Narrow" w:cs="Arial"/>
          <w:b/>
          <w:color w:val="000000" w:themeColor="text1"/>
        </w:rPr>
        <w:t>ŽoNFP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 (</w:t>
      </w:r>
      <w:r w:rsidR="00184F74">
        <w:rPr>
          <w:rFonts w:ascii="Arial Narrow" w:hAnsi="Arial Narrow" w:cs="Arial"/>
          <w:b/>
          <w:color w:val="000000" w:themeColor="text1"/>
        </w:rPr>
        <w:t xml:space="preserve">navrhovaný </w:t>
      </w:r>
      <w:r>
        <w:rPr>
          <w:rFonts w:ascii="Arial Narrow" w:hAnsi="Arial Narrow" w:cs="Arial"/>
          <w:b/>
          <w:color w:val="000000" w:themeColor="text1"/>
        </w:rPr>
        <w:t>projekt)</w:t>
      </w:r>
      <w:r w:rsidRPr="00F50271">
        <w:rPr>
          <w:rFonts w:ascii="Arial Narrow" w:eastAsia="Helvetica" w:hAnsi="Arial Narrow" w:cs="Arial"/>
          <w:b/>
          <w:color w:val="000000" w:themeColor="text1"/>
        </w:rPr>
        <w:t xml:space="preserve"> </w:t>
      </w:r>
      <w:r w:rsidRPr="00504909">
        <w:rPr>
          <w:rFonts w:ascii="Arial Narrow" w:eastAsia="Helvetica" w:hAnsi="Arial Narrow" w:cs="Arial"/>
          <w:color w:val="000000" w:themeColor="text1"/>
        </w:rPr>
        <w:t xml:space="preserve">umožňuje dosiahnutie výstupov projektu v navrhovanom rozsahu, </w:t>
      </w:r>
      <w:r w:rsidR="0046662C">
        <w:rPr>
          <w:rFonts w:ascii="Arial Narrow" w:eastAsia="Helvetica" w:hAnsi="Arial Narrow" w:cs="Arial"/>
          <w:color w:val="000000" w:themeColor="text1"/>
        </w:rPr>
        <w:t xml:space="preserve">všetky </w:t>
      </w:r>
      <w:r w:rsidRPr="00504909">
        <w:rPr>
          <w:rFonts w:ascii="Arial Narrow" w:eastAsia="Helvetica" w:hAnsi="Arial Narrow" w:cs="Arial"/>
          <w:color w:val="000000" w:themeColor="text1"/>
        </w:rPr>
        <w:t>aktivity projektu majú logickú vzájomnú súvislosť, časové lehoty realizácie aktivít sú reálne a sú v súlade so súvisiacou dokumentáciou</w:t>
      </w:r>
      <w:r w:rsidR="00962204">
        <w:rPr>
          <w:rFonts w:ascii="Arial Narrow" w:eastAsia="Helvetica" w:hAnsi="Arial Narrow" w:cs="Arial"/>
          <w:color w:val="000000" w:themeColor="text1"/>
        </w:rPr>
        <w:t xml:space="preserve"> (napr. prílohy </w:t>
      </w:r>
      <w:proofErr w:type="spellStart"/>
      <w:r w:rsidR="00962204">
        <w:rPr>
          <w:rFonts w:ascii="Arial Narrow" w:eastAsia="Helvetica" w:hAnsi="Arial Narrow" w:cs="Arial"/>
          <w:color w:val="000000" w:themeColor="text1"/>
        </w:rPr>
        <w:t>ŽoNFP</w:t>
      </w:r>
      <w:proofErr w:type="spellEnd"/>
      <w:r w:rsidR="00962204">
        <w:rPr>
          <w:rFonts w:ascii="Arial Narrow" w:eastAsia="Helvetica" w:hAnsi="Arial Narrow" w:cs="Arial"/>
          <w:color w:val="000000" w:themeColor="text1"/>
        </w:rPr>
        <w:t>)</w:t>
      </w:r>
      <w:r w:rsidR="00CA38A2">
        <w:rPr>
          <w:rFonts w:ascii="Arial Narrow" w:eastAsia="Helvetica" w:hAnsi="Arial Narrow" w:cs="Arial"/>
          <w:color w:val="000000" w:themeColor="text1"/>
        </w:rPr>
        <w:t>,</w:t>
      </w:r>
      <w:r w:rsidR="00CA38A2" w:rsidRPr="00CA38A2">
        <w:rPr>
          <w:rFonts w:ascii="Arial Narrow" w:eastAsia="Helvetica" w:hAnsi="Arial Narrow" w:cs="Arial"/>
          <w:color w:val="000000" w:themeColor="text1"/>
        </w:rPr>
        <w:t xml:space="preserve"> </w:t>
      </w:r>
      <w:r w:rsidR="00CA38A2">
        <w:rPr>
          <w:rFonts w:ascii="Arial Narrow" w:eastAsia="Helvetica" w:hAnsi="Arial Narrow" w:cs="Arial"/>
          <w:color w:val="000000" w:themeColor="text1"/>
        </w:rPr>
        <w:t>hodnoty merateľných ukazovatele sú</w:t>
      </w:r>
      <w:r w:rsidR="00EE694F">
        <w:rPr>
          <w:rFonts w:ascii="Arial Narrow" w:eastAsia="Helvetica" w:hAnsi="Arial Narrow" w:cs="Arial"/>
          <w:color w:val="000000" w:themeColor="text1"/>
        </w:rPr>
        <w:t xml:space="preserve"> vecne a časovo</w:t>
      </w:r>
      <w:r w:rsidR="00CA38A2">
        <w:rPr>
          <w:rFonts w:ascii="Arial Narrow" w:eastAsia="Helvetica" w:hAnsi="Arial Narrow" w:cs="Arial"/>
          <w:color w:val="000000" w:themeColor="text1"/>
        </w:rPr>
        <w:t xml:space="preserve"> reálne a primerané voči výške žiadaného NFP a rozsahu aktivít</w:t>
      </w:r>
      <w:r w:rsidR="00F53CF8">
        <w:rPr>
          <w:rFonts w:ascii="Arial Narrow" w:eastAsia="Helvetica" w:hAnsi="Arial Narrow" w:cs="Arial"/>
          <w:b/>
          <w:color w:val="000000" w:themeColor="text1"/>
        </w:rPr>
        <w:t xml:space="preserve"> hodnotiteľ priradí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áno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 V opačnom prípade</w:t>
      </w:r>
      <w:r>
        <w:rPr>
          <w:rFonts w:ascii="Arial Narrow" w:eastAsia="Helvetica" w:hAnsi="Arial Narrow" w:cs="Arial"/>
          <w:b/>
          <w:color w:val="000000" w:themeColor="text1"/>
        </w:rPr>
        <w:t xml:space="preserve">, ak hodnotiteľ </w:t>
      </w:r>
      <w:r w:rsidRPr="00EE694F">
        <w:rPr>
          <w:rFonts w:ascii="Arial Narrow" w:eastAsia="Helvetica" w:hAnsi="Arial Narrow" w:cs="Arial"/>
          <w:b/>
          <w:color w:val="000000" w:themeColor="text1"/>
        </w:rPr>
        <w:t xml:space="preserve">identifikuje </w:t>
      </w:r>
      <w:r w:rsidR="0046662C">
        <w:rPr>
          <w:rFonts w:ascii="Arial Narrow" w:eastAsia="Helvetica" w:hAnsi="Arial Narrow" w:cs="Arial"/>
          <w:b/>
          <w:color w:val="000000" w:themeColor="text1"/>
        </w:rPr>
        <w:t>aspoň jeden</w:t>
      </w:r>
      <w:r w:rsidRPr="00EE694F">
        <w:rPr>
          <w:rFonts w:ascii="Arial Narrow" w:eastAsia="Helvetica" w:hAnsi="Arial Narrow" w:cs="Arial"/>
          <w:b/>
          <w:color w:val="000000" w:themeColor="text1"/>
        </w:rPr>
        <w:t xml:space="preserve"> nedostat</w:t>
      </w:r>
      <w:r w:rsidR="0046662C">
        <w:rPr>
          <w:rFonts w:ascii="Arial Narrow" w:eastAsia="Helvetica" w:hAnsi="Arial Narrow" w:cs="Arial"/>
          <w:b/>
          <w:color w:val="000000" w:themeColor="text1"/>
        </w:rPr>
        <w:t>o</w:t>
      </w:r>
      <w:r w:rsidRPr="00EE694F">
        <w:rPr>
          <w:rFonts w:ascii="Arial Narrow" w:eastAsia="Helvetica" w:hAnsi="Arial Narrow" w:cs="Arial"/>
          <w:b/>
          <w:color w:val="000000" w:themeColor="text1"/>
        </w:rPr>
        <w:t>k</w:t>
      </w:r>
      <w:r>
        <w:rPr>
          <w:rFonts w:ascii="Arial Narrow" w:eastAsia="Helvetica" w:hAnsi="Arial Narrow" w:cs="Arial"/>
          <w:b/>
          <w:color w:val="000000" w:themeColor="text1"/>
        </w:rPr>
        <w:t xml:space="preserve"> v navrhovanom spôsobe realizácie aktivít projektu,</w:t>
      </w:r>
      <w:r w:rsidR="00F53CF8">
        <w:rPr>
          <w:rFonts w:ascii="Arial Narrow" w:eastAsia="Helvetica" w:hAnsi="Arial Narrow" w:cs="Arial"/>
          <w:b/>
          <w:color w:val="000000" w:themeColor="text1"/>
        </w:rPr>
        <w:t xml:space="preserve"> priradí odpoveď „</w:t>
      </w:r>
      <w:r w:rsidRPr="00F50271">
        <w:rPr>
          <w:rFonts w:ascii="Arial Narrow" w:eastAsia="Helvetica" w:hAnsi="Arial Narrow" w:cs="Arial"/>
          <w:b/>
          <w:color w:val="000000" w:themeColor="text1"/>
        </w:rPr>
        <w:t>nie</w:t>
      </w:r>
      <w:r w:rsidR="00F53CF8">
        <w:rPr>
          <w:rFonts w:ascii="Arial Narrow" w:eastAsia="Helvetica" w:hAnsi="Arial Narrow" w:cs="Arial"/>
          <w:b/>
          <w:color w:val="000000" w:themeColor="text1"/>
        </w:rPr>
        <w:t>“</w:t>
      </w:r>
      <w:r w:rsidRPr="00F50271">
        <w:rPr>
          <w:rFonts w:ascii="Arial Narrow" w:eastAsia="Helvetica" w:hAnsi="Arial Narrow" w:cs="Arial"/>
          <w:b/>
          <w:color w:val="000000" w:themeColor="text1"/>
        </w:rPr>
        <w:t>.</w:t>
      </w:r>
    </w:p>
    <w:p w14:paraId="63E48A4C" w14:textId="7E3E71E8" w:rsidR="00390BEE" w:rsidRDefault="00390BEE" w:rsidP="00802B73">
      <w:pPr>
        <w:jc w:val="both"/>
        <w:rPr>
          <w:rFonts w:ascii="Arial Narrow" w:eastAsiaTheme="majorEastAsia" w:hAnsi="Arial Narrow" w:cs="Arial"/>
          <w:color w:val="000000" w:themeColor="text1"/>
          <w:lang w:bidi="en-US"/>
        </w:rPr>
      </w:pPr>
      <w:r w:rsidRPr="00F50388">
        <w:rPr>
          <w:rFonts w:ascii="Arial Narrow" w:eastAsiaTheme="majorEastAsia" w:hAnsi="Arial Narrow" w:cs="Arial"/>
          <w:b/>
          <w:color w:val="000000" w:themeColor="text1"/>
          <w:lang w:bidi="en-US"/>
        </w:rPr>
        <w:t>Hodnotiteľ svoju odpoveď zdôvodní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v hodnotiacom hárku odborného hodnotenia v časti 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„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Komentár</w:t>
      </w:r>
      <w:r w:rsidR="00264DCC">
        <w:rPr>
          <w:rFonts w:ascii="Arial Narrow" w:eastAsiaTheme="majorEastAsia" w:hAnsi="Arial Narrow" w:cs="Arial"/>
          <w:color w:val="000000" w:themeColor="text1"/>
          <w:lang w:bidi="en-US"/>
        </w:rPr>
        <w:t>“</w:t>
      </w:r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a súčasne uvedie odkaz na dokument vrátane relevantnej časti (</w:t>
      </w:r>
      <w:proofErr w:type="spellStart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264DCC">
        <w:rPr>
          <w:rFonts w:ascii="Arial Narrow" w:eastAsiaTheme="majorEastAsia" w:hAnsi="Arial Narrow" w:cs="Arial"/>
          <w:color w:val="000000" w:themeColor="text1"/>
          <w:lang w:bidi="en-US"/>
        </w:rPr>
        <w:t xml:space="preserve"> a relevantnej prílohy), na základe ktorej bolo vykonané hodnotenie. Hodnotiteľ je povinný uviesť odpoveď pri každom konkrétnom hodnotení</w:t>
      </w:r>
      <w:r w:rsidR="003E01A4" w:rsidRPr="00264DCC">
        <w:rPr>
          <w:rFonts w:ascii="Arial Narrow" w:eastAsiaTheme="majorEastAsia" w:hAnsi="Arial Narrow" w:cs="Arial"/>
          <w:color w:val="000000" w:themeColor="text1"/>
          <w:lang w:bidi="en-US"/>
        </w:rPr>
        <w:t>.</w:t>
      </w:r>
    </w:p>
    <w:p w14:paraId="4C39C842" w14:textId="0FBFA9A7" w:rsidR="00390BEE" w:rsidRDefault="00390BEE" w:rsidP="00CD5DA4">
      <w:pPr>
        <w:spacing w:after="0"/>
        <w:rPr>
          <w:rFonts w:ascii="Arial Narrow" w:eastAsia="Helvetica" w:hAnsi="Arial Narrow" w:cs="Arial"/>
          <w:color w:val="000000" w:themeColor="text1"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042"/>
        <w:gridCol w:w="6868"/>
        <w:gridCol w:w="1276"/>
        <w:gridCol w:w="4755"/>
      </w:tblGrid>
      <w:tr w:rsidR="002526E6" w:rsidRPr="00F23A87" w14:paraId="377A9804" w14:textId="77777777" w:rsidTr="002526E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B9BD5" w:themeFill="accent1"/>
          </w:tcPr>
          <w:p w14:paraId="3CAC425C" w14:textId="0CAE24FC" w:rsidR="002526E6" w:rsidRPr="002526E6" w:rsidRDefault="002526E6" w:rsidP="002526E6">
            <w:pPr>
              <w:pStyle w:val="Tabtex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526E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Hodnotiace kritérium</w:t>
            </w:r>
          </w:p>
        </w:tc>
      </w:tr>
      <w:tr w:rsidR="002526E6" w:rsidRPr="00F23A87" w14:paraId="029CA371" w14:textId="77777777" w:rsidTr="00B77D1F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4A43C7" w14:textId="5B4F0EBC" w:rsidR="002526E6" w:rsidRPr="002526E6" w:rsidRDefault="00A77A7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4</w:t>
            </w:r>
            <w:r w:rsidR="002526E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E7E89EF" w14:textId="40B9EC84" w:rsidR="002526E6" w:rsidRPr="00F50271" w:rsidRDefault="002526E6" w:rsidP="002526E6">
            <w:pPr>
              <w:spacing w:after="0" w:line="240" w:lineRule="auto"/>
              <w:ind w:left="135" w:right="135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2526E6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Spĺňajú výdavky uvedené v žiadosti podmienky oprávnenosti?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6AE10" w14:textId="221298D9" w:rsidR="002526E6" w:rsidRPr="00F50271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  <w:hideMark/>
          </w:tcPr>
          <w:p w14:paraId="67F08921" w14:textId="77777777" w:rsidR="002526E6" w:rsidRPr="00F50271" w:rsidRDefault="002526E6" w:rsidP="00F77C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46" w:type="pct"/>
            <w:shd w:val="clear" w:color="auto" w:fill="DEEAF6" w:themeFill="accent1" w:themeFillTint="33"/>
            <w:vAlign w:val="center"/>
            <w:hideMark/>
          </w:tcPr>
          <w:p w14:paraId="11C9B7CB" w14:textId="77777777" w:rsidR="002526E6" w:rsidRPr="00F50271" w:rsidRDefault="002526E6" w:rsidP="00F77C0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F50271">
              <w:rPr>
                <w:rFonts w:ascii="Arial Narrow" w:eastAsia="Times New Roman" w:hAnsi="Arial Narrow" w:cs="Arial"/>
                <w:b/>
                <w:lang w:eastAsia="sk-SK"/>
              </w:rPr>
              <w:t xml:space="preserve">Spôsob aplikácie </w:t>
            </w:r>
          </w:p>
        </w:tc>
      </w:tr>
      <w:tr w:rsidR="002526E6" w:rsidRPr="001D63EF" w14:paraId="329518EB" w14:textId="77777777" w:rsidTr="00B77D1F">
        <w:trPr>
          <w:trHeight w:val="545"/>
        </w:trPr>
        <w:tc>
          <w:tcPr>
            <w:tcW w:w="142" w:type="pct"/>
            <w:vMerge/>
          </w:tcPr>
          <w:p w14:paraId="0519B037" w14:textId="77777777" w:rsidR="002526E6" w:rsidRPr="00F53CF8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4" w:type="pct"/>
            <w:vMerge/>
          </w:tcPr>
          <w:p w14:paraId="68078481" w14:textId="5D46EDB2" w:rsidR="002526E6" w:rsidRPr="00F53CF8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F4238" w14:textId="728C61F6" w:rsidR="002526E6" w:rsidRPr="001D63EF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CE4916">
              <w:rPr>
                <w:rFonts w:ascii="Arial Narrow" w:eastAsia="Times New Roman" w:hAnsi="Arial Narrow" w:cs="Arial"/>
                <w:lang w:eastAsia="sk-SK"/>
              </w:rPr>
              <w:t xml:space="preserve">Posudzuje sa, či </w:t>
            </w:r>
            <w:r w:rsidR="0062463B" w:rsidRPr="00CE4916">
              <w:rPr>
                <w:rFonts w:ascii="Arial Narrow" w:eastAsia="Times New Roman" w:hAnsi="Arial Narrow" w:cs="Arial"/>
                <w:lang w:eastAsia="sk-SK"/>
              </w:rPr>
              <w:t xml:space="preserve">navrhované </w:t>
            </w:r>
            <w:r w:rsidRPr="00CE4916">
              <w:rPr>
                <w:rFonts w:ascii="Arial Narrow" w:eastAsia="Times New Roman" w:hAnsi="Arial Narrow" w:cs="Arial"/>
                <w:lang w:eastAsia="sk-SK"/>
              </w:rPr>
              <w:t>výdavky projektu spĺňajú všetky podmienky oprávnenosti definované v</w:t>
            </w:r>
            <w:r w:rsidR="00C868F0" w:rsidRPr="008D16C5">
              <w:rPr>
                <w:rFonts w:ascii="Arial Narrow" w:eastAsia="Times New Roman" w:hAnsi="Arial Narrow" w:cs="Arial"/>
                <w:lang w:eastAsia="sk-SK"/>
              </w:rPr>
              <w:t>o výzve</w:t>
            </w:r>
            <w:r w:rsidR="00C868F0" w:rsidRPr="001D63EF">
              <w:rPr>
                <w:rFonts w:ascii="Arial Narrow" w:eastAsia="Times New Roman" w:hAnsi="Arial Narrow" w:cs="Arial"/>
                <w:lang w:eastAsia="sk-SK"/>
              </w:rPr>
              <w:t xml:space="preserve"> v časti</w:t>
            </w:r>
            <w:r w:rsidRPr="001D63EF">
              <w:rPr>
                <w:rFonts w:ascii="Arial Narrow" w:eastAsia="Times New Roman" w:hAnsi="Arial Narrow" w:cs="Arial"/>
                <w:lang w:eastAsia="sk-SK"/>
              </w:rPr>
              <w:t xml:space="preserve"> upravujúcej oblasť oprávnenosti výdavkov (vecná oprávnenosť a účelnosť výdavkov, hospodárnosť a efektívnosť výdavkov, územná oprávnenosť výdavkov, časová oprávnenosť výdavkov a pod.).</w:t>
            </w:r>
          </w:p>
          <w:p w14:paraId="4E36DE79" w14:textId="6CA257CD" w:rsidR="002526E6" w:rsidRPr="001D63EF" w:rsidRDefault="002526E6" w:rsidP="00F53CF8">
            <w:pPr>
              <w:spacing w:after="0" w:line="240" w:lineRule="auto"/>
              <w:ind w:left="1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Pozn.: V prípade identifikácie neoprávnených výdavkov projektu sa v procese odborného hodnotenia výška celkových oprávnených výdavkov projektu adekvátne zníži.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A01992F" w14:textId="77777777" w:rsidR="002526E6" w:rsidRPr="001D63EF" w:rsidRDefault="002526E6" w:rsidP="00F77C0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áno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1A5E66A9" w14:textId="39721C7F" w:rsidR="002526E6" w:rsidRPr="001D63EF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hAnsi="Arial Narrow"/>
                <w:b/>
                <w:bCs/>
              </w:rPr>
              <w:t>70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%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a</w:t>
            </w:r>
            <w:r w:rsidRPr="001D63EF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  <w:b/>
              </w:rPr>
              <w:t>viac</w:t>
            </w:r>
            <w:r w:rsidRPr="001D63EF">
              <w:rPr>
                <w:rFonts w:ascii="Arial Narrow" w:hAnsi="Arial Narrow"/>
              </w:rPr>
              <w:t xml:space="preserve"> finančnej hodnoty žiadateľom definovaných celkových oprávnených</w:t>
            </w:r>
            <w:r w:rsidRPr="001D63EF" w:rsidDel="00AA1F91">
              <w:rPr>
                <w:rFonts w:ascii="Arial Narrow" w:hAnsi="Arial Narrow"/>
              </w:rPr>
              <w:t xml:space="preserve"> </w:t>
            </w:r>
            <w:r w:rsidRPr="001D63EF">
              <w:rPr>
                <w:rFonts w:ascii="Arial Narrow" w:hAnsi="Arial Narrow"/>
              </w:rPr>
              <w:t xml:space="preserve">výdavkov projektu je </w:t>
            </w:r>
            <w:r w:rsidRPr="001D63EF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1D63EF">
              <w:rPr>
                <w:rFonts w:ascii="Arial Narrow" w:hAnsi="Arial Narrow"/>
                <w:bCs/>
              </w:rPr>
              <w:t>vzhľadom k stanoveným cieľom a očakávaným výstupom projektu</w:t>
            </w:r>
          </w:p>
        </w:tc>
      </w:tr>
      <w:tr w:rsidR="002526E6" w:rsidRPr="001D63EF" w14:paraId="40BD7FAF" w14:textId="77777777" w:rsidTr="00B77D1F">
        <w:trPr>
          <w:trHeight w:val="1031"/>
        </w:trPr>
        <w:tc>
          <w:tcPr>
            <w:tcW w:w="142" w:type="pct"/>
            <w:vMerge/>
          </w:tcPr>
          <w:p w14:paraId="13988585" w14:textId="77777777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664" w:type="pct"/>
            <w:vMerge/>
          </w:tcPr>
          <w:p w14:paraId="78FD8063" w14:textId="0CA43BD8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9B9B4" w14:textId="03734A7E" w:rsidR="002526E6" w:rsidRPr="001D63EF" w:rsidRDefault="002526E6" w:rsidP="00F77C01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D85E90F" w14:textId="77777777" w:rsidR="002526E6" w:rsidRPr="001D63EF" w:rsidRDefault="002526E6" w:rsidP="00F77C01">
            <w:pPr>
              <w:spacing w:after="0" w:line="240" w:lineRule="auto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54AC6E8" w14:textId="2D059FF4" w:rsidR="002526E6" w:rsidRPr="001D63EF" w:rsidRDefault="002526E6" w:rsidP="00F53CF8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1D63EF">
              <w:rPr>
                <w:rFonts w:ascii="Arial Narrow" w:hAnsi="Arial Narrow"/>
                <w:b/>
                <w:bCs/>
              </w:rPr>
              <w:t xml:space="preserve">Menej ako 70% </w:t>
            </w:r>
            <w:r w:rsidRPr="001D63EF">
              <w:rPr>
                <w:rFonts w:ascii="Arial Narrow" w:hAnsi="Arial Narrow"/>
              </w:rPr>
              <w:t xml:space="preserve">finančnej hodnoty žiadateľom definovaných celkových oprávnených výdavkov projektu je </w:t>
            </w:r>
            <w:r w:rsidRPr="001D63EF">
              <w:rPr>
                <w:rFonts w:ascii="Arial Narrow" w:hAnsi="Arial Narrow"/>
                <w:b/>
                <w:bCs/>
              </w:rPr>
              <w:t xml:space="preserve">oprávnených </w:t>
            </w:r>
            <w:r w:rsidRPr="001D63EF">
              <w:rPr>
                <w:rFonts w:ascii="Arial Narrow" w:hAnsi="Arial Narrow"/>
                <w:bCs/>
              </w:rPr>
              <w:t>vzhľadom k stanoveným cieľom a očakávaným výstupom projektu.</w:t>
            </w:r>
          </w:p>
        </w:tc>
      </w:tr>
    </w:tbl>
    <w:p w14:paraId="600407DA" w14:textId="3A2921B3" w:rsidR="009A42AB" w:rsidRPr="001D63EF" w:rsidRDefault="009A42AB" w:rsidP="00B77D1F">
      <w:pPr>
        <w:spacing w:before="240"/>
        <w:jc w:val="both"/>
        <w:rPr>
          <w:rFonts w:ascii="Arial Narrow" w:eastAsia="Helvetica" w:hAnsi="Arial Narrow" w:cs="Arial"/>
          <w:color w:val="000000" w:themeColor="text1"/>
        </w:rPr>
      </w:pPr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Hodnotiteľ posudzuje informácie uvedené v časti </w:t>
      </w:r>
      <w:proofErr w:type="spellStart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: 11 Rozpočet projektu, v prílohe </w:t>
      </w:r>
      <w:proofErr w:type="spellStart"/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ŽoNFP</w:t>
      </w:r>
      <w:proofErr w:type="spellEnd"/>
      <w:r w:rsidR="00CD44DD" w:rsidRPr="001D63EF">
        <w:rPr>
          <w:rFonts w:ascii="Arial Narrow" w:eastAsiaTheme="majorEastAsia" w:hAnsi="Arial Narrow" w:cs="Arial"/>
          <w:color w:val="000000" w:themeColor="text1"/>
          <w:lang w:bidi="en-US"/>
        </w:rPr>
        <w:t xml:space="preserve"> </w:t>
      </w:r>
      <w:r w:rsidRPr="001D63EF">
        <w:rPr>
          <w:rFonts w:ascii="Arial Narrow" w:eastAsiaTheme="majorEastAsia" w:hAnsi="Arial Narrow" w:cs="Arial"/>
          <w:color w:val="000000" w:themeColor="text1"/>
          <w:lang w:bidi="en-US"/>
        </w:rPr>
        <w:t>rozpočet projektu</w:t>
      </w:r>
      <w:r w:rsidR="00CD44DD" w:rsidRPr="001D63EF">
        <w:rPr>
          <w:rFonts w:ascii="Arial Narrow" w:eastAsiaTheme="majorEastAsia" w:hAnsi="Arial Narrow" w:cs="Arial"/>
          <w:color w:val="000000" w:themeColor="text1"/>
          <w:lang w:bidi="en-US"/>
        </w:rPr>
        <w:t>, projektový zámer (ak relevantné).</w:t>
      </w:r>
    </w:p>
    <w:p w14:paraId="66CF9756" w14:textId="13F5C13C" w:rsidR="00F53CF8" w:rsidRDefault="00F53CF8" w:rsidP="00F53CF8">
      <w:pPr>
        <w:spacing w:before="120" w:after="120" w:line="276" w:lineRule="auto"/>
        <w:jc w:val="both"/>
        <w:rPr>
          <w:rFonts w:ascii="Arial Narrow" w:hAnsi="Arial Narrow"/>
          <w:b/>
          <w:color w:val="000000"/>
          <w:lang w:eastAsia="cs-CZ"/>
        </w:rPr>
      </w:pPr>
      <w:r w:rsidRPr="001D63EF">
        <w:rPr>
          <w:rFonts w:ascii="Arial Narrow" w:hAnsi="Arial Narrow"/>
          <w:color w:val="000000"/>
          <w:lang w:eastAsia="cs-CZ"/>
        </w:rPr>
        <w:t xml:space="preserve">Hodnotiteľ posudzuje, či </w:t>
      </w:r>
      <w:r w:rsidR="0062463B" w:rsidRPr="001D63EF">
        <w:rPr>
          <w:rFonts w:ascii="Arial Narrow" w:hAnsi="Arial Narrow"/>
          <w:color w:val="000000"/>
          <w:lang w:eastAsia="cs-CZ"/>
        </w:rPr>
        <w:t xml:space="preserve">navrhované </w:t>
      </w:r>
      <w:r w:rsidRPr="001D63EF">
        <w:rPr>
          <w:rFonts w:ascii="Arial Narrow" w:hAnsi="Arial Narrow"/>
          <w:color w:val="000000"/>
          <w:lang w:eastAsia="cs-CZ"/>
        </w:rPr>
        <w:t>výdavky</w:t>
      </w:r>
      <w:r>
        <w:rPr>
          <w:rFonts w:ascii="Arial Narrow" w:hAnsi="Arial Narrow"/>
          <w:color w:val="000000"/>
          <w:lang w:eastAsia="cs-CZ"/>
        </w:rPr>
        <w:t xml:space="preserve"> projektu spĺňajú všetky podmienky oprávnenosti definované vo výzve</w:t>
      </w:r>
      <w:r w:rsidR="00FE785B">
        <w:rPr>
          <w:rFonts w:ascii="Arial Narrow" w:hAnsi="Arial Narrow"/>
          <w:color w:val="000000"/>
          <w:lang w:eastAsia="cs-CZ"/>
        </w:rPr>
        <w:t xml:space="preserve"> v časti</w:t>
      </w:r>
      <w:r>
        <w:rPr>
          <w:rFonts w:ascii="Arial Narrow" w:hAnsi="Arial Narrow"/>
          <w:color w:val="000000"/>
          <w:lang w:eastAsia="cs-CZ"/>
        </w:rPr>
        <w:t xml:space="preserve"> </w:t>
      </w:r>
      <w:r w:rsidRPr="00F53CF8">
        <w:rPr>
          <w:rFonts w:ascii="Arial Narrow" w:hAnsi="Arial Narrow"/>
          <w:color w:val="000000"/>
          <w:lang w:eastAsia="cs-CZ"/>
        </w:rPr>
        <w:t xml:space="preserve"> </w:t>
      </w:r>
      <w:r>
        <w:rPr>
          <w:rFonts w:ascii="Arial Narrow" w:hAnsi="Arial Narrow"/>
          <w:color w:val="000000"/>
          <w:lang w:eastAsia="cs-CZ"/>
        </w:rPr>
        <w:t>upravujúcej oblasť oprávnenosti výdavkov</w:t>
      </w:r>
      <w:r w:rsidRPr="00F53CF8">
        <w:rPr>
          <w:rFonts w:ascii="Arial Narrow" w:hAnsi="Arial Narrow"/>
          <w:b/>
          <w:color w:val="000000"/>
          <w:lang w:eastAsia="cs-CZ"/>
        </w:rPr>
        <w:t xml:space="preserve"> </w:t>
      </w:r>
      <w:r>
        <w:rPr>
          <w:rFonts w:ascii="Arial Narrow" w:hAnsi="Arial Narrow"/>
          <w:b/>
          <w:color w:val="000000"/>
          <w:lang w:eastAsia="cs-CZ"/>
        </w:rPr>
        <w:t>(vecná oprávnenosť a účelnosť výdavkov, hospodárnosť a efektívnosť výdavkov, územná oprávnenosť výdavkov, časová oprávnenosť výdavkov a pod.)</w:t>
      </w:r>
      <w:r>
        <w:rPr>
          <w:rFonts w:ascii="Arial Narrow" w:hAnsi="Arial Narrow"/>
          <w:color w:val="000000"/>
          <w:lang w:eastAsia="cs-CZ"/>
        </w:rPr>
        <w:t>, v pravidlách oprávnenosti pre skupiny výdavkov, pravidlá dokladovania a účtovného spracovania dokladov pre skupiny výdavkov (</w:t>
      </w:r>
      <w:r w:rsidR="0062463B">
        <w:rPr>
          <w:rFonts w:ascii="Arial Narrow" w:hAnsi="Arial Narrow"/>
          <w:color w:val="000000"/>
          <w:lang w:eastAsia="cs-CZ"/>
        </w:rPr>
        <w:t xml:space="preserve">napr. </w:t>
      </w:r>
      <w:proofErr w:type="spellStart"/>
      <w:r w:rsidR="00EE694F">
        <w:rPr>
          <w:rFonts w:ascii="Arial Narrow" w:hAnsi="Arial Narrow"/>
          <w:color w:val="000000"/>
          <w:lang w:eastAsia="cs-CZ"/>
        </w:rPr>
        <w:t>benchmarky</w:t>
      </w:r>
      <w:proofErr w:type="spellEnd"/>
      <w:r w:rsidR="00EE694F">
        <w:rPr>
          <w:rFonts w:ascii="Arial Narrow" w:hAnsi="Arial Narrow"/>
          <w:color w:val="000000"/>
          <w:lang w:eastAsia="cs-CZ"/>
        </w:rPr>
        <w:t xml:space="preserve">, </w:t>
      </w:r>
      <w:r>
        <w:rPr>
          <w:rFonts w:ascii="Arial Narrow" w:hAnsi="Arial Narrow"/>
          <w:color w:val="000000"/>
          <w:lang w:eastAsia="cs-CZ"/>
        </w:rPr>
        <w:t>limity) a pod.</w:t>
      </w:r>
    </w:p>
    <w:p w14:paraId="44EDAC89" w14:textId="435CF45D" w:rsidR="00F53CF8" w:rsidRDefault="00F53CF8" w:rsidP="00F53CF8">
      <w:pPr>
        <w:tabs>
          <w:tab w:val="left" w:pos="284"/>
        </w:tabs>
        <w:spacing w:before="120" w:after="120" w:line="276" w:lineRule="auto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V</w:t>
      </w:r>
      <w:r w:rsidR="00EE694F">
        <w:rPr>
          <w:rFonts w:ascii="Arial Narrow" w:eastAsia="Times New Roman" w:hAnsi="Arial Narrow"/>
          <w:color w:val="000000"/>
        </w:rPr>
        <w:t>o výzve</w:t>
      </w:r>
      <w:r>
        <w:rPr>
          <w:rFonts w:ascii="Arial Narrow" w:eastAsia="Times New Roman" w:hAnsi="Arial Narrow"/>
          <w:color w:val="000000"/>
        </w:rPr>
        <w:t xml:space="preserve"> sú prehľadným spôsobom zadefinované pravidlá oprávnenosti výdavkov tak, aby boli vytvorené podmienky pre transparentné, jednoznačné a efektívne posudzovanie oprávnenosti výdavkov projektov v procese ich schvaľovania.</w:t>
      </w:r>
    </w:p>
    <w:p w14:paraId="6D00EBFE" w14:textId="77777777" w:rsidR="00F53CF8" w:rsidRDefault="00F53CF8" w:rsidP="00F53CF8">
      <w:pPr>
        <w:tabs>
          <w:tab w:val="left" w:pos="851"/>
        </w:tabs>
        <w:spacing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Vecne neoprávnené a neúčelné výdavky sú výdavky, ktoré: </w:t>
      </w:r>
    </w:p>
    <w:p w14:paraId="576A6283" w14:textId="77777777" w:rsidR="00F53CF8" w:rsidRDefault="00F53CF8" w:rsidP="00E75A52">
      <w:pPr>
        <w:numPr>
          <w:ilvl w:val="0"/>
          <w:numId w:val="42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nespĺňajú hospodárnosť a efektívnosť výdavkov, a/alebo </w:t>
      </w:r>
    </w:p>
    <w:p w14:paraId="27522384" w14:textId="77777777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nie sú oprávnené z časového a územného aspektu, a/alebo</w:t>
      </w:r>
    </w:p>
    <w:p w14:paraId="15295653" w14:textId="77777777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nie sú pre realizáciu projektu nevyhnutné, a/alebo </w:t>
      </w:r>
    </w:p>
    <w:p w14:paraId="6DE159AF" w14:textId="601760BC" w:rsidR="00F53CF8" w:rsidRDefault="00F53CF8" w:rsidP="00E75A52">
      <w:pPr>
        <w:numPr>
          <w:ilvl w:val="0"/>
          <w:numId w:val="43"/>
        </w:numPr>
        <w:spacing w:after="0" w:line="276" w:lineRule="auto"/>
        <w:ind w:left="993" w:hanging="426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nie sú vecne oprávnené podľa </w:t>
      </w:r>
      <w:r w:rsidR="003C4A08">
        <w:rPr>
          <w:rFonts w:ascii="Arial Narrow" w:eastAsia="Times New Roman" w:hAnsi="Arial Narrow"/>
          <w:szCs w:val="20"/>
        </w:rPr>
        <w:t>v</w:t>
      </w:r>
      <w:r>
        <w:rPr>
          <w:rFonts w:ascii="Arial Narrow" w:eastAsia="Times New Roman" w:hAnsi="Arial Narrow"/>
          <w:szCs w:val="20"/>
        </w:rPr>
        <w:t>ýzvy, resp. inej riadiacej dokumentácie.</w:t>
      </w:r>
    </w:p>
    <w:p w14:paraId="793A7CDE" w14:textId="7EC93446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Pri hodnotení oprávnenosti výdavkov hodnotiteľ vychádza z výzvy vrátane príloh a prihliada na informácie v rozpočte projektu,</w:t>
      </w:r>
      <w:r w:rsidR="00EE694F">
        <w:rPr>
          <w:rFonts w:ascii="Arial Narrow" w:eastAsia="Times New Roman" w:hAnsi="Arial Narrow"/>
          <w:szCs w:val="20"/>
        </w:rPr>
        <w:t xml:space="preserve"> </w:t>
      </w:r>
      <w:proofErr w:type="spellStart"/>
      <w:r w:rsidR="00EE694F">
        <w:rPr>
          <w:rFonts w:ascii="Arial Narrow" w:eastAsia="Times New Roman" w:hAnsi="Arial Narrow"/>
          <w:szCs w:val="20"/>
        </w:rPr>
        <w:t>ŽoNFP</w:t>
      </w:r>
      <w:proofErr w:type="spellEnd"/>
      <w:r w:rsidR="00EE694F">
        <w:rPr>
          <w:rFonts w:ascii="Arial Narrow" w:eastAsia="Times New Roman" w:hAnsi="Arial Narrow"/>
          <w:szCs w:val="20"/>
        </w:rPr>
        <w:t>,</w:t>
      </w:r>
      <w:r>
        <w:rPr>
          <w:rFonts w:ascii="Arial Narrow" w:eastAsia="Times New Roman" w:hAnsi="Arial Narrow"/>
          <w:szCs w:val="20"/>
        </w:rPr>
        <w:t xml:space="preserve"> v textovej časti finančnej analýzy (ak relevantné). </w:t>
      </w:r>
    </w:p>
    <w:p w14:paraId="53D538DF" w14:textId="77777777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V prípade identifikácie nedostatkov rozpočtu projektu spočívajúcich vo formálnych nedostatkoch (napr. nesprávna klasifikácia výdavkov z hľadiska účtovného zaradenia, resp. nesprávneho priradenia k aktivitám projektu a pod.), ktoré nemajú vplyv na posúdenie oprávnenosti výdavkov, sa tieto nedostatky nezahŕňajú do neoprávnených výdavkov.  </w:t>
      </w:r>
    </w:p>
    <w:p w14:paraId="35F3B654" w14:textId="07E75379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Ak hodnotiteľ identifikuje </w:t>
      </w:r>
      <w:r>
        <w:rPr>
          <w:rFonts w:ascii="Arial Narrow" w:eastAsia="Times New Roman" w:hAnsi="Arial Narrow"/>
          <w:b/>
          <w:szCs w:val="20"/>
        </w:rPr>
        <w:t>oprávnené výdavky</w:t>
      </w:r>
      <w:r>
        <w:rPr>
          <w:rFonts w:ascii="Arial Narrow" w:eastAsia="Times New Roman" w:hAnsi="Arial Narrow"/>
          <w:szCs w:val="20"/>
        </w:rPr>
        <w:t xml:space="preserve">, </w:t>
      </w:r>
      <w:r>
        <w:rPr>
          <w:rFonts w:ascii="Arial Narrow" w:eastAsia="Times New Roman" w:hAnsi="Arial Narrow"/>
          <w:b/>
          <w:szCs w:val="20"/>
        </w:rPr>
        <w:t xml:space="preserve">v rozsahu 70 % a viac </w:t>
      </w:r>
      <w:r w:rsidR="00D0257F" w:rsidRPr="00D0257F">
        <w:rPr>
          <w:rFonts w:ascii="Arial Narrow" w:eastAsia="Times New Roman" w:hAnsi="Arial Narrow"/>
          <w:szCs w:val="20"/>
        </w:rPr>
        <w:t>finančnej hodnoty žiadateľom definovaných</w:t>
      </w:r>
      <w:r>
        <w:rPr>
          <w:rFonts w:ascii="Arial Narrow" w:eastAsia="Times New Roman" w:hAnsi="Arial Narrow"/>
          <w:szCs w:val="20"/>
        </w:rPr>
        <w:t> celkových oprávnených výdavkov</w:t>
      </w:r>
      <w:r>
        <w:rPr>
          <w:rFonts w:ascii="Arial Narrow" w:eastAsia="Times New Roman" w:hAnsi="Arial Narrow"/>
          <w:b/>
          <w:szCs w:val="20"/>
        </w:rPr>
        <w:t>,</w:t>
      </w:r>
      <w:r>
        <w:rPr>
          <w:rFonts w:ascii="Arial Narrow" w:eastAsia="Times New Roman" w:hAnsi="Arial Narrow"/>
          <w:szCs w:val="20"/>
        </w:rPr>
        <w:t xml:space="preserve"> vzhľadom k stanoveným cieľom a očakávaným výstupom projektu, označí </w:t>
      </w:r>
      <w:r>
        <w:rPr>
          <w:rFonts w:ascii="Arial Narrow" w:eastAsia="Times New Roman" w:hAnsi="Arial Narrow"/>
          <w:b/>
          <w:szCs w:val="20"/>
        </w:rPr>
        <w:t>„áno“</w:t>
      </w:r>
      <w:r>
        <w:rPr>
          <w:rFonts w:ascii="Arial Narrow" w:eastAsia="Times New Roman" w:hAnsi="Arial Narrow"/>
          <w:szCs w:val="20"/>
        </w:rPr>
        <w:t xml:space="preserve">. </w:t>
      </w:r>
    </w:p>
    <w:p w14:paraId="61A67CE5" w14:textId="507A0E1D" w:rsidR="00F53CF8" w:rsidRDefault="00F53CF8" w:rsidP="00F53CF8">
      <w:pPr>
        <w:tabs>
          <w:tab w:val="left" w:pos="0"/>
        </w:tabs>
        <w:spacing w:before="120" w:after="120" w:line="276" w:lineRule="auto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Ak hodnotiteľ identifikuje </w:t>
      </w:r>
      <w:r>
        <w:rPr>
          <w:rFonts w:ascii="Arial Narrow" w:eastAsia="Times New Roman" w:hAnsi="Arial Narrow"/>
          <w:b/>
          <w:szCs w:val="20"/>
        </w:rPr>
        <w:t>oprávnené výdavky</w:t>
      </w:r>
      <w:r>
        <w:rPr>
          <w:rFonts w:ascii="Arial Narrow" w:eastAsia="Times New Roman" w:hAnsi="Arial Narrow"/>
          <w:szCs w:val="20"/>
        </w:rPr>
        <w:t xml:space="preserve"> vzhľadom k stanoveným cieľom a očakávaným výstupom projektu </w:t>
      </w:r>
      <w:r>
        <w:rPr>
          <w:rFonts w:ascii="Arial Narrow" w:eastAsia="Times New Roman" w:hAnsi="Arial Narrow"/>
          <w:b/>
          <w:szCs w:val="20"/>
        </w:rPr>
        <w:t>v rozsahu menej ako 70 %</w:t>
      </w:r>
      <w:r>
        <w:rPr>
          <w:rFonts w:ascii="Arial Narrow" w:eastAsia="Times New Roman" w:hAnsi="Arial Narrow"/>
          <w:szCs w:val="20"/>
        </w:rPr>
        <w:t xml:space="preserve"> </w:t>
      </w:r>
      <w:r w:rsidR="00D0257F" w:rsidRPr="00723C2E">
        <w:rPr>
          <w:rFonts w:ascii="Arial Narrow" w:hAnsi="Arial Narrow"/>
        </w:rPr>
        <w:t xml:space="preserve">finančnej hodnoty žiadateľom definovaných </w:t>
      </w:r>
      <w:r>
        <w:rPr>
          <w:rFonts w:ascii="Arial Narrow" w:eastAsia="Times New Roman" w:hAnsi="Arial Narrow"/>
          <w:szCs w:val="20"/>
        </w:rPr>
        <w:t>celkových oprávnených výdavkov, označí „</w:t>
      </w:r>
      <w:r>
        <w:rPr>
          <w:rFonts w:ascii="Arial Narrow" w:eastAsia="Times New Roman" w:hAnsi="Arial Narrow"/>
          <w:b/>
          <w:szCs w:val="20"/>
        </w:rPr>
        <w:t>nie</w:t>
      </w:r>
      <w:r>
        <w:rPr>
          <w:rFonts w:ascii="Arial Narrow" w:eastAsia="Times New Roman" w:hAnsi="Arial Narrow"/>
          <w:szCs w:val="20"/>
        </w:rPr>
        <w:t xml:space="preserve">“. </w:t>
      </w:r>
    </w:p>
    <w:p w14:paraId="77C3DE6D" w14:textId="77777777" w:rsidR="00F50388" w:rsidRDefault="00F50388" w:rsidP="00F50388">
      <w:pPr>
        <w:spacing w:after="120" w:line="288" w:lineRule="auto"/>
        <w:jc w:val="both"/>
        <w:rPr>
          <w:rFonts w:ascii="Arial Narrow" w:hAnsi="Arial Narrow" w:cs="Arial"/>
          <w:color w:val="000000" w:themeColor="text1"/>
        </w:rPr>
      </w:pPr>
      <w:r w:rsidRPr="00F50271">
        <w:rPr>
          <w:rFonts w:ascii="Arial Narrow" w:hAnsi="Arial Narrow" w:cs="Arial"/>
          <w:b/>
          <w:color w:val="000000" w:themeColor="text1"/>
        </w:rPr>
        <w:t>Hodnotiteľ svoju odpoveď zdôvodní</w:t>
      </w:r>
      <w:r w:rsidRPr="00F50271">
        <w:rPr>
          <w:rFonts w:ascii="Arial Narrow" w:hAnsi="Arial Narrow" w:cs="Arial"/>
          <w:color w:val="000000" w:themeColor="text1"/>
        </w:rPr>
        <w:t xml:space="preserve"> v hodnotiacom hárku odborného hodnotenia v časti </w:t>
      </w:r>
      <w:r>
        <w:rPr>
          <w:rFonts w:ascii="Arial Narrow" w:hAnsi="Arial Narrow" w:cs="Arial"/>
          <w:color w:val="000000" w:themeColor="text1"/>
        </w:rPr>
        <w:t xml:space="preserve">„Komentár“ </w:t>
      </w:r>
      <w:r w:rsidRPr="00F50271">
        <w:rPr>
          <w:rFonts w:ascii="Arial Narrow" w:hAnsi="Arial Narrow" w:cs="Arial"/>
          <w:color w:val="000000" w:themeColor="text1"/>
        </w:rPr>
        <w:t>a súčasne uvedie odkaz na dokument alebo relevantnú časť (</w:t>
      </w:r>
      <w:proofErr w:type="spellStart"/>
      <w:r w:rsidRPr="00F50271">
        <w:rPr>
          <w:rFonts w:ascii="Arial Narrow" w:hAnsi="Arial Narrow" w:cs="Arial"/>
          <w:color w:val="000000" w:themeColor="text1"/>
        </w:rPr>
        <w:t>ŽoNFP</w:t>
      </w:r>
      <w:proofErr w:type="spellEnd"/>
      <w:r w:rsidRPr="00F50271">
        <w:rPr>
          <w:rFonts w:ascii="Arial Narrow" w:hAnsi="Arial Narrow" w:cs="Arial"/>
          <w:color w:val="000000" w:themeColor="text1"/>
        </w:rPr>
        <w:t xml:space="preserve"> a relevantnej prílohy), na základe ktorej bolo vykonané hodnotenie. Hodnotiteľ je povinný uviesť odpoveď pri každom konkrétnom hodnotení.</w:t>
      </w:r>
    </w:p>
    <w:p w14:paraId="5F0AAC03" w14:textId="751ACD00" w:rsidR="00F53CF8" w:rsidRDefault="00F53CF8" w:rsidP="00B77D1F">
      <w:pPr>
        <w:tabs>
          <w:tab w:val="left" w:pos="0"/>
        </w:tabs>
        <w:spacing w:before="120" w:after="120" w:line="276" w:lineRule="auto"/>
        <w:jc w:val="both"/>
        <w:rPr>
          <w:rFonts w:ascii="Arial Narrow" w:eastAsia="Helvetica" w:hAnsi="Arial Narrow" w:cs="Arial"/>
          <w:color w:val="000000" w:themeColor="text1"/>
        </w:rPr>
      </w:pPr>
      <w:r>
        <w:rPr>
          <w:rFonts w:ascii="Arial Narrow" w:eastAsia="Times New Roman" w:hAnsi="Arial Narrow"/>
        </w:rPr>
        <w:t>Poznámka</w:t>
      </w:r>
      <w:r>
        <w:rPr>
          <w:rFonts w:ascii="Arial Narrow" w:eastAsia="Times New Roman" w:hAnsi="Arial Narrow"/>
          <w:b/>
        </w:rPr>
        <w:t>: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  <w:szCs w:val="20"/>
        </w:rPr>
        <w:t xml:space="preserve">V prípade identifikácie neoprávnených výdavkov projektu hodnotiteľ v procese odborného hodnotenia výšku priamych výdavkov projektu (hlavných aktivít) adekvátne zníži, a zároveň poníži aj nepriame výdavky (podporných aktivít), tak, aby ich </w:t>
      </w:r>
      <w:r w:rsidRPr="00EE694F">
        <w:rPr>
          <w:rFonts w:ascii="Arial Narrow" w:eastAsia="Times New Roman" w:hAnsi="Arial Narrow"/>
          <w:b/>
          <w:szCs w:val="20"/>
        </w:rPr>
        <w:t>výška neprekročila 7 % z celkových priamych výdavkov</w:t>
      </w:r>
      <w:r>
        <w:rPr>
          <w:rFonts w:ascii="Arial Narrow" w:eastAsia="Times New Roman" w:hAnsi="Arial Narrow"/>
          <w:szCs w:val="20"/>
        </w:rPr>
        <w:t xml:space="preserve"> v zmysle výzvy. </w:t>
      </w:r>
    </w:p>
    <w:p w14:paraId="2DAEF2F2" w14:textId="77777777" w:rsidR="00F53CF8" w:rsidRDefault="00F53CF8" w:rsidP="00802B73">
      <w:pPr>
        <w:jc w:val="both"/>
        <w:rPr>
          <w:rFonts w:ascii="Arial Narrow" w:eastAsia="Helvetica" w:hAnsi="Arial Narrow" w:cs="Arial"/>
          <w:color w:val="000000" w:themeColor="text1"/>
        </w:rPr>
      </w:pPr>
    </w:p>
    <w:sectPr w:rsidR="00F53CF8" w:rsidSect="00BC321E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8B0D" w14:textId="77777777" w:rsidR="00CB26AC" w:rsidRDefault="00CB26AC" w:rsidP="006447D5">
      <w:pPr>
        <w:spacing w:after="0" w:line="240" w:lineRule="auto"/>
      </w:pPr>
      <w:r>
        <w:separator/>
      </w:r>
    </w:p>
  </w:endnote>
  <w:endnote w:type="continuationSeparator" w:id="0">
    <w:p w14:paraId="44C883C4" w14:textId="77777777" w:rsidR="00CB26AC" w:rsidRDefault="00CB26A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32969" w14:textId="11ED9C57" w:rsidR="00900A28" w:rsidRDefault="00900A2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B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A893C8" w14:textId="77777777" w:rsidR="00900A28" w:rsidRDefault="00900A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216895"/>
      <w:docPartObj>
        <w:docPartGallery w:val="Page Numbers (Bottom of Page)"/>
        <w:docPartUnique/>
      </w:docPartObj>
    </w:sdtPr>
    <w:sdtEndPr/>
    <w:sdtContent>
      <w:p w14:paraId="36B5615A" w14:textId="5D49BC4D" w:rsidR="00900A28" w:rsidRDefault="00900A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73">
          <w:rPr>
            <w:noProof/>
          </w:rPr>
          <w:t>1</w:t>
        </w:r>
        <w:r>
          <w:fldChar w:fldCharType="end"/>
        </w:r>
      </w:p>
    </w:sdtContent>
  </w:sdt>
  <w:p w14:paraId="67647B08" w14:textId="77777777" w:rsidR="00900A28" w:rsidRDefault="00900A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2F52" w14:textId="77777777" w:rsidR="00CB26AC" w:rsidRDefault="00CB26AC" w:rsidP="006447D5">
      <w:pPr>
        <w:spacing w:after="0" w:line="240" w:lineRule="auto"/>
      </w:pPr>
      <w:r>
        <w:separator/>
      </w:r>
    </w:p>
  </w:footnote>
  <w:footnote w:type="continuationSeparator" w:id="0">
    <w:p w14:paraId="35A5C1EF" w14:textId="77777777" w:rsidR="00CB26AC" w:rsidRDefault="00CB26AC" w:rsidP="006447D5">
      <w:pPr>
        <w:spacing w:after="0" w:line="240" w:lineRule="auto"/>
      </w:pPr>
      <w:r>
        <w:continuationSeparator/>
      </w:r>
    </w:p>
  </w:footnote>
  <w:footnote w:id="1">
    <w:p w14:paraId="0A604434" w14:textId="21E4DF94" w:rsidR="00F50388" w:rsidRDefault="00F503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A03640">
          <w:rPr>
            <w:rStyle w:val="Hypertextovprepojenie"/>
            <w:rFonts w:ascii="Arial Narrow" w:hAnsi="Arial Narrow"/>
          </w:rPr>
          <w:t>https://www.eurofondy.gov.sk/index.html</w:t>
        </w:r>
      </w:hyperlink>
      <w:r>
        <w:rPr>
          <w:rFonts w:ascii="Arial Narrow" w:hAnsi="Arial Narrow"/>
        </w:rPr>
        <w:t xml:space="preserve"> </w:t>
      </w:r>
    </w:p>
  </w:footnote>
  <w:footnote w:id="2">
    <w:p w14:paraId="22933411" w14:textId="24E6DD48" w:rsidR="00BC321E" w:rsidRDefault="00BC321E" w:rsidP="00BC32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 w:rsidR="00DA6B0F">
        <w:rPr>
          <w:rFonts w:ascii="Arial Narrow" w:hAnsi="Arial Narrow"/>
        </w:rPr>
        <w:t xml:space="preserve">môžu byť </w:t>
      </w:r>
      <w:r w:rsidR="00CC2E3C"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 w:rsidR="00CC2E3C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 w:rsidR="00CC2E3C"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kritérií použitých pre výber projektov</w:t>
      </w:r>
      <w:r>
        <w:rPr>
          <w:rFonts w:ascii="Arial Narrow" w:hAnsi="Arial Narrow"/>
        </w:rPr>
        <w:t>“</w:t>
      </w:r>
      <w:r w:rsidR="00EE694F">
        <w:rPr>
          <w:rFonts w:ascii="Arial Narrow" w:hAnsi="Arial Narrow"/>
        </w:rPr>
        <w:t>.</w:t>
      </w:r>
      <w:r w:rsidR="00CC2E3C">
        <w:rPr>
          <w:rFonts w:ascii="Arial Narrow" w:hAnsi="Arial Narrow"/>
        </w:rPr>
        <w:t xml:space="preserve"> </w:t>
      </w:r>
    </w:p>
  </w:footnote>
  <w:footnote w:id="3">
    <w:p w14:paraId="51004352" w14:textId="35C5CE5A" w:rsidR="00CB4106" w:rsidRDefault="00CB4106" w:rsidP="00CB41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B6A16">
        <w:rPr>
          <w:rFonts w:ascii="Arial Narrow" w:hAnsi="Arial Narrow"/>
        </w:rPr>
        <w:t xml:space="preserve">Ministerstvo investícií, regionálneho rozvoja a informatizácie Slovenskej republiky na základe </w:t>
      </w:r>
      <w:r>
        <w:rPr>
          <w:rFonts w:ascii="Arial Narrow" w:hAnsi="Arial Narrow"/>
        </w:rPr>
        <w:t>U</w:t>
      </w:r>
      <w:r w:rsidRPr="005B6A16">
        <w:rPr>
          <w:rFonts w:ascii="Arial Narrow" w:hAnsi="Arial Narrow"/>
        </w:rPr>
        <w:t>zn</w:t>
      </w:r>
      <w:r>
        <w:rPr>
          <w:rFonts w:ascii="Arial Narrow" w:hAnsi="Arial Narrow"/>
        </w:rPr>
        <w:t>e</w:t>
      </w:r>
      <w:r w:rsidRPr="005B6A16">
        <w:rPr>
          <w:rFonts w:ascii="Arial Narrow" w:hAnsi="Arial Narrow"/>
        </w:rPr>
        <w:t>senia vlá</w:t>
      </w:r>
      <w:r>
        <w:rPr>
          <w:rFonts w:ascii="Arial Narrow" w:hAnsi="Arial Narrow"/>
        </w:rPr>
        <w:t>d</w:t>
      </w:r>
      <w:r w:rsidRPr="005B6A16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č. 329/2020 Z. z. </w:t>
      </w:r>
    </w:p>
  </w:footnote>
  <w:footnote w:id="4">
    <w:p w14:paraId="15D58977" w14:textId="1B91FE2B" w:rsidR="0014583F" w:rsidRPr="00CE4916" w:rsidRDefault="0014583F">
      <w:pPr>
        <w:pStyle w:val="Textpoznmkypodiarou"/>
        <w:rPr>
          <w:rFonts w:ascii="Arial Narrow" w:hAnsi="Arial Narrow"/>
        </w:rPr>
      </w:pPr>
      <w:r w:rsidRPr="00CE4916">
        <w:rPr>
          <w:rStyle w:val="Odkaznapoznmkupodiarou"/>
          <w:rFonts w:ascii="Arial Narrow" w:hAnsi="Arial Narrow"/>
        </w:rPr>
        <w:footnoteRef/>
      </w:r>
      <w:r w:rsidRPr="00CE4916">
        <w:rPr>
          <w:rFonts w:ascii="Arial Narrow" w:hAnsi="Arial Narrow"/>
        </w:rPr>
        <w:t xml:space="preserve"> </w:t>
      </w:r>
      <w:r w:rsidR="00E75A52" w:rsidRPr="00E75A52">
        <w:rPr>
          <w:rFonts w:ascii="Arial Narrow" w:hAnsi="Arial Narrow"/>
        </w:rPr>
        <w:t>https://www.eurofondy.gov.sk/dokumenty-a-publikacie/dokumenty/</w:t>
      </w:r>
      <w:r w:rsidR="00E75A52">
        <w:rPr>
          <w:rFonts w:ascii="Arial Narrow" w:hAnsi="Arial Narrow"/>
        </w:rPr>
        <w:t xml:space="preserve"> (</w:t>
      </w:r>
      <w:hyperlink r:id="rId2" w:history="1">
        <w:r w:rsidR="007B1E1C" w:rsidRPr="00E94B92">
          <w:rPr>
            <w:rStyle w:val="Hypertextovprepojenie"/>
            <w:rFonts w:ascii="Arial Narrow" w:hAnsi="Arial Narrow"/>
          </w:rPr>
          <w:t>https://www.eurofondy.gov.sk/wp-content/uploads/2022/07/220713_SK_Partnersk%C3%A1-dohoda-SR_21_27_do-SFC.pdf</w:t>
        </w:r>
      </w:hyperlink>
      <w:r w:rsidR="00E75A52">
        <w:rPr>
          <w:rFonts w:ascii="Arial Narrow" w:hAnsi="Arial Narrow"/>
        </w:rPr>
        <w:t>)</w:t>
      </w:r>
      <w:r w:rsidR="007B1E1C">
        <w:rPr>
          <w:rFonts w:ascii="Arial Narrow" w:hAnsi="Arial Narrow"/>
        </w:rPr>
        <w:t xml:space="preserve"> </w:t>
      </w:r>
    </w:p>
  </w:footnote>
  <w:footnote w:id="5">
    <w:p w14:paraId="660C144E" w14:textId="5E276551" w:rsidR="00907739" w:rsidRDefault="00907739">
      <w:pPr>
        <w:pStyle w:val="Textpoznmkypodiarou"/>
      </w:pPr>
      <w:r w:rsidRPr="00CE4916">
        <w:rPr>
          <w:rStyle w:val="Odkaznapoznmkupodiarou"/>
        </w:rPr>
        <w:footnoteRef/>
      </w:r>
      <w:r w:rsidRPr="00CE4916">
        <w:t xml:space="preserve"> </w:t>
      </w:r>
      <w:hyperlink r:id="rId3" w:history="1">
        <w:r w:rsidR="00B77D1F" w:rsidRPr="00E94B92">
          <w:rPr>
            <w:rStyle w:val="Hypertextovprepojenie"/>
            <w:rFonts w:ascii="Arial Narrow" w:hAnsi="Arial Narrow"/>
          </w:rPr>
          <w:t>https://www.mirri.gov.sk/sekcie/informatizacia/broadband/</w:t>
        </w:r>
      </w:hyperlink>
      <w:r w:rsidR="00B77D1F">
        <w:rPr>
          <w:rStyle w:val="Hypertextovprepojenie"/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811D" w14:textId="2EBA341D" w:rsidR="0058445C" w:rsidRDefault="0058445C" w:rsidP="0058445C">
    <w:pPr>
      <w:pStyle w:val="Hlavika"/>
      <w:ind w:left="-709" w:right="-995"/>
      <w:jc w:val="center"/>
      <w:rPr>
        <w:rFonts w:ascii="Calibri" w:eastAsia="Calibri" w:hAnsi="Calibri" w:cs="Times New Roman"/>
        <w:noProof/>
        <w:lang w:eastAsia="sk-SK"/>
      </w:rPr>
    </w:pPr>
    <w:r>
      <w:rPr>
        <w:noProof/>
        <w:lang w:eastAsia="sk-SK"/>
      </w:rPr>
      <w:drawing>
        <wp:inline distT="0" distB="0" distL="0" distR="0" wp14:anchorId="04D9F2E9" wp14:editId="197186D3">
          <wp:extent cx="2315845" cy="487045"/>
          <wp:effectExtent l="0" t="0" r="0" b="8255"/>
          <wp:docPr id="3" name="Obrázok 3" descr="SK Financovaný Európskou úniou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" descr="SK Financovaný Európskou úniou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      </w:t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8487F48" wp14:editId="5602AF30">
          <wp:extent cx="1911985" cy="427355"/>
          <wp:effectExtent l="0" t="0" r="0" b="0"/>
          <wp:docPr id="2" name="Obrázok 2" descr="PS-logo_podlhova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3" descr="PS-logo_podlhova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t xml:space="preserve">                     </w:t>
    </w:r>
    <w:r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5047AE31" wp14:editId="472B3406">
          <wp:extent cx="1876425" cy="427355"/>
          <wp:effectExtent l="0" t="0" r="9525" b="0"/>
          <wp:docPr id="1" name="Obrázok 1" descr="logomi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5" descr="logomir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02448" w14:textId="77777777" w:rsidR="0058445C" w:rsidRDefault="0058445C" w:rsidP="0058445C">
    <w:pPr>
      <w:pStyle w:val="Hlavika"/>
    </w:pPr>
  </w:p>
  <w:p w14:paraId="727BE949" w14:textId="66706A9D" w:rsidR="00900A28" w:rsidRPr="0058445C" w:rsidRDefault="00900A28" w:rsidP="005844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4BC"/>
    <w:multiLevelType w:val="hybridMultilevel"/>
    <w:tmpl w:val="F7729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5914E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5565"/>
    <w:multiLevelType w:val="hybridMultilevel"/>
    <w:tmpl w:val="B492C0C2"/>
    <w:lvl w:ilvl="0" w:tplc="B246D3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D891CFA"/>
    <w:multiLevelType w:val="hybridMultilevel"/>
    <w:tmpl w:val="4DE82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62ED"/>
    <w:multiLevelType w:val="hybridMultilevel"/>
    <w:tmpl w:val="C03C6EB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42911"/>
    <w:multiLevelType w:val="hybridMultilevel"/>
    <w:tmpl w:val="A51E1AE0"/>
    <w:lvl w:ilvl="0" w:tplc="7A56AC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3471"/>
    <w:multiLevelType w:val="hybridMultilevel"/>
    <w:tmpl w:val="3CD655BA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623B"/>
    <w:multiLevelType w:val="hybridMultilevel"/>
    <w:tmpl w:val="76BED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A66"/>
    <w:multiLevelType w:val="hybridMultilevel"/>
    <w:tmpl w:val="A80E8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50E5F"/>
    <w:multiLevelType w:val="hybridMultilevel"/>
    <w:tmpl w:val="37FABA92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550"/>
    <w:multiLevelType w:val="hybridMultilevel"/>
    <w:tmpl w:val="5CA6A7E6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E0B3A"/>
    <w:multiLevelType w:val="hybridMultilevel"/>
    <w:tmpl w:val="CB145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05EC6"/>
    <w:multiLevelType w:val="hybridMultilevel"/>
    <w:tmpl w:val="39C6DEA2"/>
    <w:lvl w:ilvl="0" w:tplc="884AFD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D5E"/>
    <w:multiLevelType w:val="hybridMultilevel"/>
    <w:tmpl w:val="4976C6C4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B5308"/>
    <w:multiLevelType w:val="hybridMultilevel"/>
    <w:tmpl w:val="10DC442C"/>
    <w:lvl w:ilvl="0" w:tplc="467E9C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81D96"/>
    <w:multiLevelType w:val="hybridMultilevel"/>
    <w:tmpl w:val="94E45B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39"/>
  </w:num>
  <w:num w:numId="5">
    <w:abstractNumId w:val="40"/>
  </w:num>
  <w:num w:numId="6">
    <w:abstractNumId w:val="8"/>
  </w:num>
  <w:num w:numId="7">
    <w:abstractNumId w:val="37"/>
  </w:num>
  <w:num w:numId="8">
    <w:abstractNumId w:val="13"/>
  </w:num>
  <w:num w:numId="9">
    <w:abstractNumId w:val="14"/>
  </w:num>
  <w:num w:numId="10">
    <w:abstractNumId w:val="5"/>
  </w:num>
  <w:num w:numId="11">
    <w:abstractNumId w:val="23"/>
  </w:num>
  <w:num w:numId="12">
    <w:abstractNumId w:val="19"/>
  </w:num>
  <w:num w:numId="13">
    <w:abstractNumId w:val="36"/>
  </w:num>
  <w:num w:numId="14">
    <w:abstractNumId w:val="27"/>
  </w:num>
  <w:num w:numId="15">
    <w:abstractNumId w:val="16"/>
  </w:num>
  <w:num w:numId="16">
    <w:abstractNumId w:val="12"/>
  </w:num>
  <w:num w:numId="17">
    <w:abstractNumId w:val="25"/>
  </w:num>
  <w:num w:numId="18">
    <w:abstractNumId w:val="38"/>
  </w:num>
  <w:num w:numId="19">
    <w:abstractNumId w:val="34"/>
  </w:num>
  <w:num w:numId="20">
    <w:abstractNumId w:val="3"/>
  </w:num>
  <w:num w:numId="21">
    <w:abstractNumId w:val="2"/>
  </w:num>
  <w:num w:numId="22">
    <w:abstractNumId w:val="42"/>
  </w:num>
  <w:num w:numId="23">
    <w:abstractNumId w:val="7"/>
  </w:num>
  <w:num w:numId="24">
    <w:abstractNumId w:val="42"/>
  </w:num>
  <w:num w:numId="25">
    <w:abstractNumId w:val="2"/>
  </w:num>
  <w:num w:numId="26">
    <w:abstractNumId w:val="7"/>
  </w:num>
  <w:num w:numId="27">
    <w:abstractNumId w:val="6"/>
  </w:num>
  <w:num w:numId="28">
    <w:abstractNumId w:val="35"/>
  </w:num>
  <w:num w:numId="29">
    <w:abstractNumId w:val="32"/>
  </w:num>
  <w:num w:numId="30">
    <w:abstractNumId w:val="41"/>
  </w:num>
  <w:num w:numId="31">
    <w:abstractNumId w:val="28"/>
  </w:num>
  <w:num w:numId="32">
    <w:abstractNumId w:val="22"/>
  </w:num>
  <w:num w:numId="33">
    <w:abstractNumId w:val="33"/>
  </w:num>
  <w:num w:numId="34">
    <w:abstractNumId w:val="29"/>
  </w:num>
  <w:num w:numId="35">
    <w:abstractNumId w:val="26"/>
  </w:num>
  <w:num w:numId="36">
    <w:abstractNumId w:val="11"/>
  </w:num>
  <w:num w:numId="37">
    <w:abstractNumId w:val="31"/>
  </w:num>
  <w:num w:numId="38">
    <w:abstractNumId w:val="30"/>
  </w:num>
  <w:num w:numId="39">
    <w:abstractNumId w:val="24"/>
  </w:num>
  <w:num w:numId="40">
    <w:abstractNumId w:val="1"/>
  </w:num>
  <w:num w:numId="41">
    <w:abstractNumId w:val="17"/>
  </w:num>
  <w:num w:numId="42">
    <w:abstractNumId w:val="20"/>
  </w:num>
  <w:num w:numId="43">
    <w:abstractNumId w:val="43"/>
  </w:num>
  <w:num w:numId="44">
    <w:abstractNumId w:val="15"/>
  </w:num>
  <w:num w:numId="45">
    <w:abstractNumId w:val="9"/>
  </w:num>
  <w:num w:numId="46">
    <w:abstractNumId w:val="1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4D25"/>
    <w:rsid w:val="000074F8"/>
    <w:rsid w:val="000079A8"/>
    <w:rsid w:val="00007E4C"/>
    <w:rsid w:val="00010A91"/>
    <w:rsid w:val="00011649"/>
    <w:rsid w:val="0001325E"/>
    <w:rsid w:val="000143D8"/>
    <w:rsid w:val="00014979"/>
    <w:rsid w:val="0001588A"/>
    <w:rsid w:val="0001660D"/>
    <w:rsid w:val="000166D8"/>
    <w:rsid w:val="000213D4"/>
    <w:rsid w:val="0002200D"/>
    <w:rsid w:val="00023644"/>
    <w:rsid w:val="00023B1F"/>
    <w:rsid w:val="0002506C"/>
    <w:rsid w:val="00027084"/>
    <w:rsid w:val="00032EAB"/>
    <w:rsid w:val="00033031"/>
    <w:rsid w:val="000346F8"/>
    <w:rsid w:val="0003655E"/>
    <w:rsid w:val="00040728"/>
    <w:rsid w:val="00043650"/>
    <w:rsid w:val="000466C5"/>
    <w:rsid w:val="00050069"/>
    <w:rsid w:val="0005057D"/>
    <w:rsid w:val="00050FEA"/>
    <w:rsid w:val="00053DF4"/>
    <w:rsid w:val="00055A2D"/>
    <w:rsid w:val="000579E5"/>
    <w:rsid w:val="00060DE2"/>
    <w:rsid w:val="00063B5B"/>
    <w:rsid w:val="0006402A"/>
    <w:rsid w:val="00064093"/>
    <w:rsid w:val="00066478"/>
    <w:rsid w:val="00066F7E"/>
    <w:rsid w:val="00067A71"/>
    <w:rsid w:val="00067FFE"/>
    <w:rsid w:val="00071E45"/>
    <w:rsid w:val="000720CC"/>
    <w:rsid w:val="00072E07"/>
    <w:rsid w:val="0007302B"/>
    <w:rsid w:val="00073386"/>
    <w:rsid w:val="00077913"/>
    <w:rsid w:val="0008016F"/>
    <w:rsid w:val="0008224F"/>
    <w:rsid w:val="00086CF2"/>
    <w:rsid w:val="0008777E"/>
    <w:rsid w:val="00091FCA"/>
    <w:rsid w:val="000933BD"/>
    <w:rsid w:val="000944CC"/>
    <w:rsid w:val="00094552"/>
    <w:rsid w:val="000956D6"/>
    <w:rsid w:val="00097647"/>
    <w:rsid w:val="000A1944"/>
    <w:rsid w:val="000A2E58"/>
    <w:rsid w:val="000A5118"/>
    <w:rsid w:val="000A74C2"/>
    <w:rsid w:val="000A7A36"/>
    <w:rsid w:val="000B046D"/>
    <w:rsid w:val="000B1F02"/>
    <w:rsid w:val="000B271E"/>
    <w:rsid w:val="000B32CB"/>
    <w:rsid w:val="000B3549"/>
    <w:rsid w:val="000B38D8"/>
    <w:rsid w:val="000B61D8"/>
    <w:rsid w:val="000B64B3"/>
    <w:rsid w:val="000C0810"/>
    <w:rsid w:val="000C159E"/>
    <w:rsid w:val="000C54F9"/>
    <w:rsid w:val="000C7A67"/>
    <w:rsid w:val="000D28B0"/>
    <w:rsid w:val="000D3F5F"/>
    <w:rsid w:val="000D6B13"/>
    <w:rsid w:val="000E2F43"/>
    <w:rsid w:val="000E47C9"/>
    <w:rsid w:val="000E4973"/>
    <w:rsid w:val="000F067F"/>
    <w:rsid w:val="000F1331"/>
    <w:rsid w:val="00107DC2"/>
    <w:rsid w:val="0011209D"/>
    <w:rsid w:val="00112DDE"/>
    <w:rsid w:val="00112E50"/>
    <w:rsid w:val="001140EA"/>
    <w:rsid w:val="00114339"/>
    <w:rsid w:val="00116456"/>
    <w:rsid w:val="00120081"/>
    <w:rsid w:val="001206CD"/>
    <w:rsid w:val="00120768"/>
    <w:rsid w:val="00121ED9"/>
    <w:rsid w:val="00122631"/>
    <w:rsid w:val="00122EF7"/>
    <w:rsid w:val="0012573E"/>
    <w:rsid w:val="00125D65"/>
    <w:rsid w:val="001266A0"/>
    <w:rsid w:val="0012785C"/>
    <w:rsid w:val="0013048D"/>
    <w:rsid w:val="0013495A"/>
    <w:rsid w:val="0013534B"/>
    <w:rsid w:val="0013600D"/>
    <w:rsid w:val="00142FD9"/>
    <w:rsid w:val="001445C0"/>
    <w:rsid w:val="0014583F"/>
    <w:rsid w:val="001464D5"/>
    <w:rsid w:val="001502C2"/>
    <w:rsid w:val="00150A1A"/>
    <w:rsid w:val="00150B3D"/>
    <w:rsid w:val="0015422F"/>
    <w:rsid w:val="001548DC"/>
    <w:rsid w:val="00160A59"/>
    <w:rsid w:val="00170C4D"/>
    <w:rsid w:val="00170DDE"/>
    <w:rsid w:val="001714EF"/>
    <w:rsid w:val="00173475"/>
    <w:rsid w:val="0017387F"/>
    <w:rsid w:val="001769BC"/>
    <w:rsid w:val="001816FF"/>
    <w:rsid w:val="00182222"/>
    <w:rsid w:val="001834B3"/>
    <w:rsid w:val="00184F74"/>
    <w:rsid w:val="0018641E"/>
    <w:rsid w:val="00186AB8"/>
    <w:rsid w:val="00187084"/>
    <w:rsid w:val="00187338"/>
    <w:rsid w:val="00187E8D"/>
    <w:rsid w:val="001908AE"/>
    <w:rsid w:val="00192A08"/>
    <w:rsid w:val="001A0BEE"/>
    <w:rsid w:val="001A24A8"/>
    <w:rsid w:val="001A2F8D"/>
    <w:rsid w:val="001A36FB"/>
    <w:rsid w:val="001A5E4F"/>
    <w:rsid w:val="001B3DF2"/>
    <w:rsid w:val="001B3ED7"/>
    <w:rsid w:val="001C000E"/>
    <w:rsid w:val="001C1F44"/>
    <w:rsid w:val="001C53AD"/>
    <w:rsid w:val="001C66E1"/>
    <w:rsid w:val="001C7563"/>
    <w:rsid w:val="001D0B8B"/>
    <w:rsid w:val="001D0E10"/>
    <w:rsid w:val="001D15EF"/>
    <w:rsid w:val="001D1854"/>
    <w:rsid w:val="001D1A22"/>
    <w:rsid w:val="001D63EF"/>
    <w:rsid w:val="001E10C6"/>
    <w:rsid w:val="001E6A35"/>
    <w:rsid w:val="001F0938"/>
    <w:rsid w:val="001F40A4"/>
    <w:rsid w:val="001F618A"/>
    <w:rsid w:val="002005B6"/>
    <w:rsid w:val="002028E6"/>
    <w:rsid w:val="00202906"/>
    <w:rsid w:val="00206A9C"/>
    <w:rsid w:val="00211DBE"/>
    <w:rsid w:val="00212F85"/>
    <w:rsid w:val="00213C02"/>
    <w:rsid w:val="00216DE1"/>
    <w:rsid w:val="00217790"/>
    <w:rsid w:val="00221D29"/>
    <w:rsid w:val="0022447A"/>
    <w:rsid w:val="00226709"/>
    <w:rsid w:val="00235D7A"/>
    <w:rsid w:val="00237713"/>
    <w:rsid w:val="00237B06"/>
    <w:rsid w:val="00237DA6"/>
    <w:rsid w:val="00240572"/>
    <w:rsid w:val="00240B10"/>
    <w:rsid w:val="002419C8"/>
    <w:rsid w:val="00241F1A"/>
    <w:rsid w:val="002456FD"/>
    <w:rsid w:val="002462D4"/>
    <w:rsid w:val="002477AE"/>
    <w:rsid w:val="0025168C"/>
    <w:rsid w:val="002526E6"/>
    <w:rsid w:val="00255483"/>
    <w:rsid w:val="00256580"/>
    <w:rsid w:val="002573C6"/>
    <w:rsid w:val="002573EA"/>
    <w:rsid w:val="00257B9A"/>
    <w:rsid w:val="00260B63"/>
    <w:rsid w:val="00262784"/>
    <w:rsid w:val="00264DCC"/>
    <w:rsid w:val="002664EC"/>
    <w:rsid w:val="0026684D"/>
    <w:rsid w:val="002701AB"/>
    <w:rsid w:val="00273A47"/>
    <w:rsid w:val="00275344"/>
    <w:rsid w:val="00275CCF"/>
    <w:rsid w:val="0027669C"/>
    <w:rsid w:val="00276C10"/>
    <w:rsid w:val="00281453"/>
    <w:rsid w:val="00281C01"/>
    <w:rsid w:val="0028704D"/>
    <w:rsid w:val="00293720"/>
    <w:rsid w:val="002942EF"/>
    <w:rsid w:val="00295AC2"/>
    <w:rsid w:val="00295F74"/>
    <w:rsid w:val="002968EE"/>
    <w:rsid w:val="00296F2B"/>
    <w:rsid w:val="00297E2A"/>
    <w:rsid w:val="002A0F60"/>
    <w:rsid w:val="002A2C37"/>
    <w:rsid w:val="002A4A08"/>
    <w:rsid w:val="002A7ABB"/>
    <w:rsid w:val="002B2A27"/>
    <w:rsid w:val="002B3A18"/>
    <w:rsid w:val="002B4BB6"/>
    <w:rsid w:val="002B5816"/>
    <w:rsid w:val="002B5ACF"/>
    <w:rsid w:val="002B7238"/>
    <w:rsid w:val="002B7D3A"/>
    <w:rsid w:val="002C06FE"/>
    <w:rsid w:val="002C1952"/>
    <w:rsid w:val="002C42E4"/>
    <w:rsid w:val="002C58C1"/>
    <w:rsid w:val="002C6CF7"/>
    <w:rsid w:val="002D0E71"/>
    <w:rsid w:val="002D3029"/>
    <w:rsid w:val="002D30EF"/>
    <w:rsid w:val="002D5412"/>
    <w:rsid w:val="002D56BC"/>
    <w:rsid w:val="002D65E5"/>
    <w:rsid w:val="002E14A5"/>
    <w:rsid w:val="002E24F1"/>
    <w:rsid w:val="002E29ED"/>
    <w:rsid w:val="002E4D51"/>
    <w:rsid w:val="002E7672"/>
    <w:rsid w:val="002E7AA3"/>
    <w:rsid w:val="002F07B1"/>
    <w:rsid w:val="002F1329"/>
    <w:rsid w:val="002F40AF"/>
    <w:rsid w:val="002F5C49"/>
    <w:rsid w:val="002F70FE"/>
    <w:rsid w:val="00300350"/>
    <w:rsid w:val="00300639"/>
    <w:rsid w:val="00300E44"/>
    <w:rsid w:val="003014A7"/>
    <w:rsid w:val="00303C57"/>
    <w:rsid w:val="00303C85"/>
    <w:rsid w:val="003056AD"/>
    <w:rsid w:val="00306FEF"/>
    <w:rsid w:val="00307EB6"/>
    <w:rsid w:val="003131D8"/>
    <w:rsid w:val="0031467F"/>
    <w:rsid w:val="0031563E"/>
    <w:rsid w:val="00315651"/>
    <w:rsid w:val="0031690C"/>
    <w:rsid w:val="00320798"/>
    <w:rsid w:val="003217EE"/>
    <w:rsid w:val="00322B2E"/>
    <w:rsid w:val="003247A0"/>
    <w:rsid w:val="00325032"/>
    <w:rsid w:val="003269E1"/>
    <w:rsid w:val="003275BE"/>
    <w:rsid w:val="0033172C"/>
    <w:rsid w:val="003320FE"/>
    <w:rsid w:val="00332619"/>
    <w:rsid w:val="00333D87"/>
    <w:rsid w:val="00336872"/>
    <w:rsid w:val="00342030"/>
    <w:rsid w:val="003429C1"/>
    <w:rsid w:val="00343C4B"/>
    <w:rsid w:val="0034591B"/>
    <w:rsid w:val="00347061"/>
    <w:rsid w:val="00347286"/>
    <w:rsid w:val="003509D1"/>
    <w:rsid w:val="00351DFF"/>
    <w:rsid w:val="00351E7A"/>
    <w:rsid w:val="00361036"/>
    <w:rsid w:val="003627FB"/>
    <w:rsid w:val="003631E5"/>
    <w:rsid w:val="00363243"/>
    <w:rsid w:val="00365365"/>
    <w:rsid w:val="00365AF1"/>
    <w:rsid w:val="00367E50"/>
    <w:rsid w:val="003734EE"/>
    <w:rsid w:val="003735F8"/>
    <w:rsid w:val="003751DB"/>
    <w:rsid w:val="003761E9"/>
    <w:rsid w:val="00376ABA"/>
    <w:rsid w:val="00376C81"/>
    <w:rsid w:val="00380BBC"/>
    <w:rsid w:val="00380C46"/>
    <w:rsid w:val="0038126D"/>
    <w:rsid w:val="00381A09"/>
    <w:rsid w:val="00384CF5"/>
    <w:rsid w:val="00384FFA"/>
    <w:rsid w:val="0038512E"/>
    <w:rsid w:val="00386033"/>
    <w:rsid w:val="00390BEE"/>
    <w:rsid w:val="00391BC9"/>
    <w:rsid w:val="00392C0B"/>
    <w:rsid w:val="00393DD9"/>
    <w:rsid w:val="003940A4"/>
    <w:rsid w:val="00396905"/>
    <w:rsid w:val="00397387"/>
    <w:rsid w:val="003A0131"/>
    <w:rsid w:val="003A0708"/>
    <w:rsid w:val="003A16B3"/>
    <w:rsid w:val="003A2126"/>
    <w:rsid w:val="003A26D2"/>
    <w:rsid w:val="003B2352"/>
    <w:rsid w:val="003B2376"/>
    <w:rsid w:val="003B32AA"/>
    <w:rsid w:val="003B43CE"/>
    <w:rsid w:val="003C0029"/>
    <w:rsid w:val="003C19C2"/>
    <w:rsid w:val="003C1E0A"/>
    <w:rsid w:val="003C3AA4"/>
    <w:rsid w:val="003C4A08"/>
    <w:rsid w:val="003C4EF8"/>
    <w:rsid w:val="003C52DC"/>
    <w:rsid w:val="003C6D55"/>
    <w:rsid w:val="003C7523"/>
    <w:rsid w:val="003C7A2D"/>
    <w:rsid w:val="003C7D82"/>
    <w:rsid w:val="003D558C"/>
    <w:rsid w:val="003D5FC2"/>
    <w:rsid w:val="003D6AF8"/>
    <w:rsid w:val="003E019C"/>
    <w:rsid w:val="003E01A4"/>
    <w:rsid w:val="003E1BA7"/>
    <w:rsid w:val="003E4BE5"/>
    <w:rsid w:val="003E555C"/>
    <w:rsid w:val="003E55DE"/>
    <w:rsid w:val="003E706F"/>
    <w:rsid w:val="003F175D"/>
    <w:rsid w:val="003F28D3"/>
    <w:rsid w:val="003F2E32"/>
    <w:rsid w:val="003F6C8E"/>
    <w:rsid w:val="003F749D"/>
    <w:rsid w:val="00401AB4"/>
    <w:rsid w:val="00402926"/>
    <w:rsid w:val="00403811"/>
    <w:rsid w:val="0040381B"/>
    <w:rsid w:val="00404055"/>
    <w:rsid w:val="004077F0"/>
    <w:rsid w:val="00410825"/>
    <w:rsid w:val="00411130"/>
    <w:rsid w:val="00412C46"/>
    <w:rsid w:val="00412FA0"/>
    <w:rsid w:val="00413E8F"/>
    <w:rsid w:val="00415A0F"/>
    <w:rsid w:val="0041687D"/>
    <w:rsid w:val="004204F1"/>
    <w:rsid w:val="004207A1"/>
    <w:rsid w:val="00420E07"/>
    <w:rsid w:val="00421100"/>
    <w:rsid w:val="004235BC"/>
    <w:rsid w:val="00425B49"/>
    <w:rsid w:val="004277B6"/>
    <w:rsid w:val="004303F6"/>
    <w:rsid w:val="004314A9"/>
    <w:rsid w:val="00437B87"/>
    <w:rsid w:val="00440986"/>
    <w:rsid w:val="00442D84"/>
    <w:rsid w:val="00444C2E"/>
    <w:rsid w:val="00444FCC"/>
    <w:rsid w:val="0044548E"/>
    <w:rsid w:val="00445684"/>
    <w:rsid w:val="00445704"/>
    <w:rsid w:val="004461BD"/>
    <w:rsid w:val="00447D47"/>
    <w:rsid w:val="00450852"/>
    <w:rsid w:val="00453BCE"/>
    <w:rsid w:val="00453E6F"/>
    <w:rsid w:val="00454BA6"/>
    <w:rsid w:val="00455599"/>
    <w:rsid w:val="004566D9"/>
    <w:rsid w:val="00457071"/>
    <w:rsid w:val="00460DA7"/>
    <w:rsid w:val="00461E72"/>
    <w:rsid w:val="00464357"/>
    <w:rsid w:val="00466376"/>
    <w:rsid w:val="0046662C"/>
    <w:rsid w:val="00467B03"/>
    <w:rsid w:val="00471ECF"/>
    <w:rsid w:val="004732D6"/>
    <w:rsid w:val="00474047"/>
    <w:rsid w:val="00480032"/>
    <w:rsid w:val="0048069B"/>
    <w:rsid w:val="00480D9F"/>
    <w:rsid w:val="004847D3"/>
    <w:rsid w:val="0049086C"/>
    <w:rsid w:val="00492C48"/>
    <w:rsid w:val="004933CE"/>
    <w:rsid w:val="00493914"/>
    <w:rsid w:val="00495768"/>
    <w:rsid w:val="0049731C"/>
    <w:rsid w:val="00497AA9"/>
    <w:rsid w:val="004A0759"/>
    <w:rsid w:val="004B085A"/>
    <w:rsid w:val="004B1177"/>
    <w:rsid w:val="004B31A8"/>
    <w:rsid w:val="004B5519"/>
    <w:rsid w:val="004B5B76"/>
    <w:rsid w:val="004B756D"/>
    <w:rsid w:val="004C15E4"/>
    <w:rsid w:val="004C222E"/>
    <w:rsid w:val="004C2866"/>
    <w:rsid w:val="004C301F"/>
    <w:rsid w:val="004D222E"/>
    <w:rsid w:val="004D366A"/>
    <w:rsid w:val="004D4DF6"/>
    <w:rsid w:val="004D655B"/>
    <w:rsid w:val="004D783F"/>
    <w:rsid w:val="004E0F21"/>
    <w:rsid w:val="004E155C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3F38"/>
    <w:rsid w:val="00504909"/>
    <w:rsid w:val="00505670"/>
    <w:rsid w:val="0050633F"/>
    <w:rsid w:val="00506683"/>
    <w:rsid w:val="0051226C"/>
    <w:rsid w:val="00513559"/>
    <w:rsid w:val="00514B81"/>
    <w:rsid w:val="00516253"/>
    <w:rsid w:val="0051771A"/>
    <w:rsid w:val="00524308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2F06"/>
    <w:rsid w:val="0054484D"/>
    <w:rsid w:val="005453CA"/>
    <w:rsid w:val="0054560E"/>
    <w:rsid w:val="00546604"/>
    <w:rsid w:val="00550517"/>
    <w:rsid w:val="00550D12"/>
    <w:rsid w:val="005525F4"/>
    <w:rsid w:val="00555456"/>
    <w:rsid w:val="00560C06"/>
    <w:rsid w:val="00561444"/>
    <w:rsid w:val="00563B91"/>
    <w:rsid w:val="00564DB5"/>
    <w:rsid w:val="0057380A"/>
    <w:rsid w:val="00573A8A"/>
    <w:rsid w:val="0057652E"/>
    <w:rsid w:val="0057752F"/>
    <w:rsid w:val="00581870"/>
    <w:rsid w:val="00581A45"/>
    <w:rsid w:val="00581C5F"/>
    <w:rsid w:val="00582FCE"/>
    <w:rsid w:val="0058445C"/>
    <w:rsid w:val="0058779E"/>
    <w:rsid w:val="0059029E"/>
    <w:rsid w:val="00591D65"/>
    <w:rsid w:val="0059209D"/>
    <w:rsid w:val="005937D6"/>
    <w:rsid w:val="00593BC5"/>
    <w:rsid w:val="0059503F"/>
    <w:rsid w:val="0059573D"/>
    <w:rsid w:val="0059586E"/>
    <w:rsid w:val="00595B20"/>
    <w:rsid w:val="00596408"/>
    <w:rsid w:val="0059761F"/>
    <w:rsid w:val="005A2A5C"/>
    <w:rsid w:val="005A6124"/>
    <w:rsid w:val="005A6C30"/>
    <w:rsid w:val="005A6CA9"/>
    <w:rsid w:val="005A793B"/>
    <w:rsid w:val="005B1EA3"/>
    <w:rsid w:val="005B3219"/>
    <w:rsid w:val="005B3578"/>
    <w:rsid w:val="005B48AF"/>
    <w:rsid w:val="005B61FE"/>
    <w:rsid w:val="005B7014"/>
    <w:rsid w:val="005C0D61"/>
    <w:rsid w:val="005C1D17"/>
    <w:rsid w:val="005C3C6B"/>
    <w:rsid w:val="005C46F2"/>
    <w:rsid w:val="005C5318"/>
    <w:rsid w:val="005C7365"/>
    <w:rsid w:val="005D281E"/>
    <w:rsid w:val="005D3A49"/>
    <w:rsid w:val="005D3DB5"/>
    <w:rsid w:val="005D6275"/>
    <w:rsid w:val="005E071B"/>
    <w:rsid w:val="005E19EB"/>
    <w:rsid w:val="005E47A1"/>
    <w:rsid w:val="005E5F54"/>
    <w:rsid w:val="005E73AB"/>
    <w:rsid w:val="005F092D"/>
    <w:rsid w:val="005F0B39"/>
    <w:rsid w:val="005F10A6"/>
    <w:rsid w:val="005F26DB"/>
    <w:rsid w:val="005F2C4C"/>
    <w:rsid w:val="005F54AD"/>
    <w:rsid w:val="005F5FAF"/>
    <w:rsid w:val="005F6228"/>
    <w:rsid w:val="00600B81"/>
    <w:rsid w:val="0060370F"/>
    <w:rsid w:val="006051BA"/>
    <w:rsid w:val="00610062"/>
    <w:rsid w:val="00611A9C"/>
    <w:rsid w:val="0061310C"/>
    <w:rsid w:val="00614351"/>
    <w:rsid w:val="00615FFC"/>
    <w:rsid w:val="00616F33"/>
    <w:rsid w:val="00621733"/>
    <w:rsid w:val="0062463B"/>
    <w:rsid w:val="00625817"/>
    <w:rsid w:val="006311C0"/>
    <w:rsid w:val="0063370D"/>
    <w:rsid w:val="00633936"/>
    <w:rsid w:val="00633BC1"/>
    <w:rsid w:val="00634BE9"/>
    <w:rsid w:val="00634C65"/>
    <w:rsid w:val="0063565C"/>
    <w:rsid w:val="00637CBC"/>
    <w:rsid w:val="00637D4D"/>
    <w:rsid w:val="00640598"/>
    <w:rsid w:val="00643048"/>
    <w:rsid w:val="0064304C"/>
    <w:rsid w:val="006436E8"/>
    <w:rsid w:val="006447D5"/>
    <w:rsid w:val="00647DA7"/>
    <w:rsid w:val="00651070"/>
    <w:rsid w:val="006538FB"/>
    <w:rsid w:val="00654A78"/>
    <w:rsid w:val="0065586B"/>
    <w:rsid w:val="00656A72"/>
    <w:rsid w:val="00657ECD"/>
    <w:rsid w:val="00657F4B"/>
    <w:rsid w:val="00661AF6"/>
    <w:rsid w:val="006623E1"/>
    <w:rsid w:val="0066344F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853EC"/>
    <w:rsid w:val="00691593"/>
    <w:rsid w:val="006A0312"/>
    <w:rsid w:val="006A1699"/>
    <w:rsid w:val="006A373F"/>
    <w:rsid w:val="006B000A"/>
    <w:rsid w:val="006B04F3"/>
    <w:rsid w:val="006B396B"/>
    <w:rsid w:val="006B3FDE"/>
    <w:rsid w:val="006B53D9"/>
    <w:rsid w:val="006B58E1"/>
    <w:rsid w:val="006B6303"/>
    <w:rsid w:val="006B6395"/>
    <w:rsid w:val="006C0E70"/>
    <w:rsid w:val="006C2958"/>
    <w:rsid w:val="006C2CCE"/>
    <w:rsid w:val="006C38A1"/>
    <w:rsid w:val="006C5BBE"/>
    <w:rsid w:val="006D2E90"/>
    <w:rsid w:val="006D30E9"/>
    <w:rsid w:val="006D4CDB"/>
    <w:rsid w:val="006E19BA"/>
    <w:rsid w:val="006E2422"/>
    <w:rsid w:val="006E30DE"/>
    <w:rsid w:val="006E3736"/>
    <w:rsid w:val="006E3A63"/>
    <w:rsid w:val="006E526B"/>
    <w:rsid w:val="006E553D"/>
    <w:rsid w:val="006E6036"/>
    <w:rsid w:val="006E6597"/>
    <w:rsid w:val="006E67EF"/>
    <w:rsid w:val="006F0D0A"/>
    <w:rsid w:val="006F242F"/>
    <w:rsid w:val="006F283B"/>
    <w:rsid w:val="006F6E4B"/>
    <w:rsid w:val="006F757D"/>
    <w:rsid w:val="00700882"/>
    <w:rsid w:val="0070122D"/>
    <w:rsid w:val="00702081"/>
    <w:rsid w:val="00702DC2"/>
    <w:rsid w:val="0070347D"/>
    <w:rsid w:val="00703BAB"/>
    <w:rsid w:val="007046F0"/>
    <w:rsid w:val="00707263"/>
    <w:rsid w:val="00715515"/>
    <w:rsid w:val="00715E12"/>
    <w:rsid w:val="00715F66"/>
    <w:rsid w:val="00717A6A"/>
    <w:rsid w:val="00720FFF"/>
    <w:rsid w:val="00724D81"/>
    <w:rsid w:val="00731B58"/>
    <w:rsid w:val="00736B1F"/>
    <w:rsid w:val="00737FE6"/>
    <w:rsid w:val="00740CA8"/>
    <w:rsid w:val="00742BB7"/>
    <w:rsid w:val="007454A3"/>
    <w:rsid w:val="00747198"/>
    <w:rsid w:val="0075035F"/>
    <w:rsid w:val="0075185F"/>
    <w:rsid w:val="00751E28"/>
    <w:rsid w:val="0075214A"/>
    <w:rsid w:val="00755505"/>
    <w:rsid w:val="00756D53"/>
    <w:rsid w:val="0076155E"/>
    <w:rsid w:val="00763F34"/>
    <w:rsid w:val="00767508"/>
    <w:rsid w:val="00770176"/>
    <w:rsid w:val="00771679"/>
    <w:rsid w:val="00772735"/>
    <w:rsid w:val="00772FF1"/>
    <w:rsid w:val="007731B9"/>
    <w:rsid w:val="00773281"/>
    <w:rsid w:val="007735BD"/>
    <w:rsid w:val="0077427B"/>
    <w:rsid w:val="00774D1F"/>
    <w:rsid w:val="00775650"/>
    <w:rsid w:val="00776E20"/>
    <w:rsid w:val="0078026B"/>
    <w:rsid w:val="0078128F"/>
    <w:rsid w:val="00781E9F"/>
    <w:rsid w:val="00786AC8"/>
    <w:rsid w:val="00792BB9"/>
    <w:rsid w:val="007953A8"/>
    <w:rsid w:val="00795C5E"/>
    <w:rsid w:val="00796C4D"/>
    <w:rsid w:val="00796DC9"/>
    <w:rsid w:val="007A009A"/>
    <w:rsid w:val="007A0486"/>
    <w:rsid w:val="007A21D8"/>
    <w:rsid w:val="007A3934"/>
    <w:rsid w:val="007A4156"/>
    <w:rsid w:val="007A6B63"/>
    <w:rsid w:val="007A6E45"/>
    <w:rsid w:val="007B1085"/>
    <w:rsid w:val="007B18ED"/>
    <w:rsid w:val="007B1E1C"/>
    <w:rsid w:val="007B39BB"/>
    <w:rsid w:val="007B6B36"/>
    <w:rsid w:val="007B778B"/>
    <w:rsid w:val="007C1668"/>
    <w:rsid w:val="007C1E07"/>
    <w:rsid w:val="007C416E"/>
    <w:rsid w:val="007C54B0"/>
    <w:rsid w:val="007C6F8F"/>
    <w:rsid w:val="007D05DA"/>
    <w:rsid w:val="007D2241"/>
    <w:rsid w:val="007D36FA"/>
    <w:rsid w:val="007D4034"/>
    <w:rsid w:val="007D4C56"/>
    <w:rsid w:val="007D4EEE"/>
    <w:rsid w:val="007D57FE"/>
    <w:rsid w:val="007D5E49"/>
    <w:rsid w:val="007D7DF5"/>
    <w:rsid w:val="007D7EEC"/>
    <w:rsid w:val="007E0D53"/>
    <w:rsid w:val="007E2F96"/>
    <w:rsid w:val="007E35A8"/>
    <w:rsid w:val="007E53D1"/>
    <w:rsid w:val="007E5903"/>
    <w:rsid w:val="007E5F48"/>
    <w:rsid w:val="007E6F49"/>
    <w:rsid w:val="007E72B6"/>
    <w:rsid w:val="007E7DF9"/>
    <w:rsid w:val="007F0B69"/>
    <w:rsid w:val="007F0DEE"/>
    <w:rsid w:val="007F4600"/>
    <w:rsid w:val="007F5293"/>
    <w:rsid w:val="007F6B76"/>
    <w:rsid w:val="00801F34"/>
    <w:rsid w:val="008028EA"/>
    <w:rsid w:val="00802B73"/>
    <w:rsid w:val="00805D7F"/>
    <w:rsid w:val="00807797"/>
    <w:rsid w:val="00813D9C"/>
    <w:rsid w:val="00814959"/>
    <w:rsid w:val="00815F8F"/>
    <w:rsid w:val="00816151"/>
    <w:rsid w:val="0082283C"/>
    <w:rsid w:val="00823447"/>
    <w:rsid w:val="00823E50"/>
    <w:rsid w:val="0082565A"/>
    <w:rsid w:val="008258C4"/>
    <w:rsid w:val="00827943"/>
    <w:rsid w:val="0083083B"/>
    <w:rsid w:val="00834CB0"/>
    <w:rsid w:val="00834FA7"/>
    <w:rsid w:val="008351C2"/>
    <w:rsid w:val="00835606"/>
    <w:rsid w:val="00836214"/>
    <w:rsid w:val="008375BA"/>
    <w:rsid w:val="008410AE"/>
    <w:rsid w:val="008411C7"/>
    <w:rsid w:val="00841262"/>
    <w:rsid w:val="0084248B"/>
    <w:rsid w:val="00845200"/>
    <w:rsid w:val="0084546E"/>
    <w:rsid w:val="00847FAF"/>
    <w:rsid w:val="00850C9C"/>
    <w:rsid w:val="0085134A"/>
    <w:rsid w:val="0085190E"/>
    <w:rsid w:val="0085209A"/>
    <w:rsid w:val="008520E6"/>
    <w:rsid w:val="008531CF"/>
    <w:rsid w:val="00853F1A"/>
    <w:rsid w:val="008544DC"/>
    <w:rsid w:val="00856918"/>
    <w:rsid w:val="00860ED1"/>
    <w:rsid w:val="0086726A"/>
    <w:rsid w:val="008714EF"/>
    <w:rsid w:val="00875100"/>
    <w:rsid w:val="00875541"/>
    <w:rsid w:val="00877DCB"/>
    <w:rsid w:val="00880FF7"/>
    <w:rsid w:val="00881404"/>
    <w:rsid w:val="00881CD2"/>
    <w:rsid w:val="00883A30"/>
    <w:rsid w:val="00884B2A"/>
    <w:rsid w:val="00891FF6"/>
    <w:rsid w:val="00892C76"/>
    <w:rsid w:val="00893063"/>
    <w:rsid w:val="008947CB"/>
    <w:rsid w:val="00894842"/>
    <w:rsid w:val="0089625B"/>
    <w:rsid w:val="00897061"/>
    <w:rsid w:val="008976E0"/>
    <w:rsid w:val="008A4EF0"/>
    <w:rsid w:val="008A57E8"/>
    <w:rsid w:val="008A584C"/>
    <w:rsid w:val="008A61FD"/>
    <w:rsid w:val="008A62F9"/>
    <w:rsid w:val="008A6958"/>
    <w:rsid w:val="008A6A1D"/>
    <w:rsid w:val="008A7F04"/>
    <w:rsid w:val="008B1462"/>
    <w:rsid w:val="008B41CE"/>
    <w:rsid w:val="008B4A3B"/>
    <w:rsid w:val="008B7BC0"/>
    <w:rsid w:val="008C045A"/>
    <w:rsid w:val="008C062F"/>
    <w:rsid w:val="008C3491"/>
    <w:rsid w:val="008C6C57"/>
    <w:rsid w:val="008D16C5"/>
    <w:rsid w:val="008D2056"/>
    <w:rsid w:val="008D2C23"/>
    <w:rsid w:val="008D3B71"/>
    <w:rsid w:val="008D6238"/>
    <w:rsid w:val="008D62B8"/>
    <w:rsid w:val="008D6DCA"/>
    <w:rsid w:val="008D71E2"/>
    <w:rsid w:val="008D7EAF"/>
    <w:rsid w:val="008E0299"/>
    <w:rsid w:val="008E0E6B"/>
    <w:rsid w:val="008E3086"/>
    <w:rsid w:val="008E3F1E"/>
    <w:rsid w:val="008E41EB"/>
    <w:rsid w:val="008E5D06"/>
    <w:rsid w:val="008F1E25"/>
    <w:rsid w:val="008F2B0E"/>
    <w:rsid w:val="008F2CA3"/>
    <w:rsid w:val="008F32AF"/>
    <w:rsid w:val="0090020E"/>
    <w:rsid w:val="009004D6"/>
    <w:rsid w:val="0090089A"/>
    <w:rsid w:val="00900A28"/>
    <w:rsid w:val="00900CE2"/>
    <w:rsid w:val="0090114F"/>
    <w:rsid w:val="0090198D"/>
    <w:rsid w:val="00907739"/>
    <w:rsid w:val="009100F3"/>
    <w:rsid w:val="00910EBA"/>
    <w:rsid w:val="00912BAA"/>
    <w:rsid w:val="00912DE3"/>
    <w:rsid w:val="00917104"/>
    <w:rsid w:val="009173F8"/>
    <w:rsid w:val="0091775B"/>
    <w:rsid w:val="009178C1"/>
    <w:rsid w:val="00917D2D"/>
    <w:rsid w:val="00920C96"/>
    <w:rsid w:val="00923003"/>
    <w:rsid w:val="00924BBE"/>
    <w:rsid w:val="00926BDD"/>
    <w:rsid w:val="00927022"/>
    <w:rsid w:val="009303EE"/>
    <w:rsid w:val="0093053A"/>
    <w:rsid w:val="00930A61"/>
    <w:rsid w:val="00930DED"/>
    <w:rsid w:val="00930E64"/>
    <w:rsid w:val="00934AEE"/>
    <w:rsid w:val="00935F63"/>
    <w:rsid w:val="009409BA"/>
    <w:rsid w:val="009436F8"/>
    <w:rsid w:val="0094486C"/>
    <w:rsid w:val="009472B3"/>
    <w:rsid w:val="00947C95"/>
    <w:rsid w:val="009512AE"/>
    <w:rsid w:val="009539D4"/>
    <w:rsid w:val="00953BEB"/>
    <w:rsid w:val="009565D4"/>
    <w:rsid w:val="00960C37"/>
    <w:rsid w:val="009613A5"/>
    <w:rsid w:val="009620CE"/>
    <w:rsid w:val="00962204"/>
    <w:rsid w:val="009627A5"/>
    <w:rsid w:val="00964622"/>
    <w:rsid w:val="0096686B"/>
    <w:rsid w:val="00970447"/>
    <w:rsid w:val="00972132"/>
    <w:rsid w:val="00974DED"/>
    <w:rsid w:val="00980F45"/>
    <w:rsid w:val="00981F8E"/>
    <w:rsid w:val="009838AC"/>
    <w:rsid w:val="00985423"/>
    <w:rsid w:val="00985A87"/>
    <w:rsid w:val="009860E3"/>
    <w:rsid w:val="00987448"/>
    <w:rsid w:val="00992DC2"/>
    <w:rsid w:val="009A0048"/>
    <w:rsid w:val="009A10CB"/>
    <w:rsid w:val="009A2B3C"/>
    <w:rsid w:val="009A31D1"/>
    <w:rsid w:val="009A323E"/>
    <w:rsid w:val="009A41D7"/>
    <w:rsid w:val="009A42AB"/>
    <w:rsid w:val="009A4784"/>
    <w:rsid w:val="009A5285"/>
    <w:rsid w:val="009A74D4"/>
    <w:rsid w:val="009B3050"/>
    <w:rsid w:val="009B348E"/>
    <w:rsid w:val="009B48AD"/>
    <w:rsid w:val="009B48DE"/>
    <w:rsid w:val="009C0504"/>
    <w:rsid w:val="009C1430"/>
    <w:rsid w:val="009C3587"/>
    <w:rsid w:val="009C4230"/>
    <w:rsid w:val="009C4807"/>
    <w:rsid w:val="009C63AE"/>
    <w:rsid w:val="009C73CD"/>
    <w:rsid w:val="009D0F33"/>
    <w:rsid w:val="009D1264"/>
    <w:rsid w:val="009D3E20"/>
    <w:rsid w:val="009D4209"/>
    <w:rsid w:val="009D6CEF"/>
    <w:rsid w:val="009D712A"/>
    <w:rsid w:val="009D7170"/>
    <w:rsid w:val="009D7832"/>
    <w:rsid w:val="009E3504"/>
    <w:rsid w:val="009E3A35"/>
    <w:rsid w:val="009E454B"/>
    <w:rsid w:val="009E4C89"/>
    <w:rsid w:val="009E75DE"/>
    <w:rsid w:val="009F45CB"/>
    <w:rsid w:val="009F49A6"/>
    <w:rsid w:val="009F4FC6"/>
    <w:rsid w:val="009F522C"/>
    <w:rsid w:val="00A00DDC"/>
    <w:rsid w:val="00A02D8D"/>
    <w:rsid w:val="00A02FAE"/>
    <w:rsid w:val="00A03E0D"/>
    <w:rsid w:val="00A0584B"/>
    <w:rsid w:val="00A05F9B"/>
    <w:rsid w:val="00A06928"/>
    <w:rsid w:val="00A07A2E"/>
    <w:rsid w:val="00A1276E"/>
    <w:rsid w:val="00A14114"/>
    <w:rsid w:val="00A14E7C"/>
    <w:rsid w:val="00A1718E"/>
    <w:rsid w:val="00A17B4E"/>
    <w:rsid w:val="00A24AAB"/>
    <w:rsid w:val="00A255C3"/>
    <w:rsid w:val="00A2679A"/>
    <w:rsid w:val="00A318BB"/>
    <w:rsid w:val="00A320B8"/>
    <w:rsid w:val="00A32B34"/>
    <w:rsid w:val="00A32F68"/>
    <w:rsid w:val="00A33722"/>
    <w:rsid w:val="00A37C28"/>
    <w:rsid w:val="00A40C38"/>
    <w:rsid w:val="00A41C38"/>
    <w:rsid w:val="00A44DAE"/>
    <w:rsid w:val="00A45627"/>
    <w:rsid w:val="00A456CB"/>
    <w:rsid w:val="00A461B3"/>
    <w:rsid w:val="00A46E2E"/>
    <w:rsid w:val="00A51735"/>
    <w:rsid w:val="00A52375"/>
    <w:rsid w:val="00A5497F"/>
    <w:rsid w:val="00A565B1"/>
    <w:rsid w:val="00A570E9"/>
    <w:rsid w:val="00A6147C"/>
    <w:rsid w:val="00A645EA"/>
    <w:rsid w:val="00A64990"/>
    <w:rsid w:val="00A64B3D"/>
    <w:rsid w:val="00A64D7F"/>
    <w:rsid w:val="00A65B56"/>
    <w:rsid w:val="00A71049"/>
    <w:rsid w:val="00A728EF"/>
    <w:rsid w:val="00A72B82"/>
    <w:rsid w:val="00A7313B"/>
    <w:rsid w:val="00A73C36"/>
    <w:rsid w:val="00A74622"/>
    <w:rsid w:val="00A75668"/>
    <w:rsid w:val="00A76CE5"/>
    <w:rsid w:val="00A77A76"/>
    <w:rsid w:val="00A80F92"/>
    <w:rsid w:val="00A82E9C"/>
    <w:rsid w:val="00A8339D"/>
    <w:rsid w:val="00A83B3E"/>
    <w:rsid w:val="00A83F0B"/>
    <w:rsid w:val="00A84D30"/>
    <w:rsid w:val="00A8557A"/>
    <w:rsid w:val="00A85AEC"/>
    <w:rsid w:val="00A86CE3"/>
    <w:rsid w:val="00A90CDB"/>
    <w:rsid w:val="00A92D52"/>
    <w:rsid w:val="00A94048"/>
    <w:rsid w:val="00A946AD"/>
    <w:rsid w:val="00AA2F7D"/>
    <w:rsid w:val="00AA489C"/>
    <w:rsid w:val="00AA7B24"/>
    <w:rsid w:val="00AA7FE2"/>
    <w:rsid w:val="00AB1998"/>
    <w:rsid w:val="00AB1E2F"/>
    <w:rsid w:val="00AB3156"/>
    <w:rsid w:val="00AB37C1"/>
    <w:rsid w:val="00AB5653"/>
    <w:rsid w:val="00AB7C6D"/>
    <w:rsid w:val="00AC01B3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5525"/>
    <w:rsid w:val="00AE7306"/>
    <w:rsid w:val="00AF163A"/>
    <w:rsid w:val="00AF201F"/>
    <w:rsid w:val="00AF3F35"/>
    <w:rsid w:val="00AF6204"/>
    <w:rsid w:val="00AF629C"/>
    <w:rsid w:val="00AF6C46"/>
    <w:rsid w:val="00B002CF"/>
    <w:rsid w:val="00B016F6"/>
    <w:rsid w:val="00B02AC5"/>
    <w:rsid w:val="00B0366F"/>
    <w:rsid w:val="00B051AE"/>
    <w:rsid w:val="00B069C5"/>
    <w:rsid w:val="00B06AFB"/>
    <w:rsid w:val="00B12F54"/>
    <w:rsid w:val="00B1456D"/>
    <w:rsid w:val="00B153D8"/>
    <w:rsid w:val="00B15E6C"/>
    <w:rsid w:val="00B22B73"/>
    <w:rsid w:val="00B253C5"/>
    <w:rsid w:val="00B27BF9"/>
    <w:rsid w:val="00B27F30"/>
    <w:rsid w:val="00B30383"/>
    <w:rsid w:val="00B30D96"/>
    <w:rsid w:val="00B31A8E"/>
    <w:rsid w:val="00B34267"/>
    <w:rsid w:val="00B342A2"/>
    <w:rsid w:val="00B34901"/>
    <w:rsid w:val="00B351B9"/>
    <w:rsid w:val="00B40366"/>
    <w:rsid w:val="00B4067E"/>
    <w:rsid w:val="00B41B95"/>
    <w:rsid w:val="00B42C60"/>
    <w:rsid w:val="00B42D45"/>
    <w:rsid w:val="00B43EB2"/>
    <w:rsid w:val="00B444EF"/>
    <w:rsid w:val="00B455BE"/>
    <w:rsid w:val="00B47DBF"/>
    <w:rsid w:val="00B509DD"/>
    <w:rsid w:val="00B517BE"/>
    <w:rsid w:val="00B5333E"/>
    <w:rsid w:val="00B54823"/>
    <w:rsid w:val="00B54913"/>
    <w:rsid w:val="00B5566B"/>
    <w:rsid w:val="00B55B1D"/>
    <w:rsid w:val="00B60AC2"/>
    <w:rsid w:val="00B6140B"/>
    <w:rsid w:val="00B61EE8"/>
    <w:rsid w:val="00B63721"/>
    <w:rsid w:val="00B6460B"/>
    <w:rsid w:val="00B646E7"/>
    <w:rsid w:val="00B6680D"/>
    <w:rsid w:val="00B67FE4"/>
    <w:rsid w:val="00B707FE"/>
    <w:rsid w:val="00B76C13"/>
    <w:rsid w:val="00B778C7"/>
    <w:rsid w:val="00B77D1F"/>
    <w:rsid w:val="00B80EC5"/>
    <w:rsid w:val="00B815BD"/>
    <w:rsid w:val="00B81609"/>
    <w:rsid w:val="00B84148"/>
    <w:rsid w:val="00B8483B"/>
    <w:rsid w:val="00B8525A"/>
    <w:rsid w:val="00B863A2"/>
    <w:rsid w:val="00B86876"/>
    <w:rsid w:val="00B906A9"/>
    <w:rsid w:val="00B9191A"/>
    <w:rsid w:val="00B925E5"/>
    <w:rsid w:val="00B93C9C"/>
    <w:rsid w:val="00B942DE"/>
    <w:rsid w:val="00B94FE9"/>
    <w:rsid w:val="00B9519A"/>
    <w:rsid w:val="00B97A45"/>
    <w:rsid w:val="00B97B61"/>
    <w:rsid w:val="00BA318A"/>
    <w:rsid w:val="00BA3B38"/>
    <w:rsid w:val="00BA57B9"/>
    <w:rsid w:val="00BA6CE1"/>
    <w:rsid w:val="00BA7A2F"/>
    <w:rsid w:val="00BB3FA7"/>
    <w:rsid w:val="00BB44CD"/>
    <w:rsid w:val="00BB7AEE"/>
    <w:rsid w:val="00BC321E"/>
    <w:rsid w:val="00BC3B6B"/>
    <w:rsid w:val="00BC3D0F"/>
    <w:rsid w:val="00BD065A"/>
    <w:rsid w:val="00BD17C4"/>
    <w:rsid w:val="00BD3358"/>
    <w:rsid w:val="00BD3D20"/>
    <w:rsid w:val="00BD5B7F"/>
    <w:rsid w:val="00BD72F7"/>
    <w:rsid w:val="00BE0ABA"/>
    <w:rsid w:val="00BE16B3"/>
    <w:rsid w:val="00BE3E03"/>
    <w:rsid w:val="00BE48D8"/>
    <w:rsid w:val="00BE4C69"/>
    <w:rsid w:val="00BE5565"/>
    <w:rsid w:val="00BE663C"/>
    <w:rsid w:val="00BE6A42"/>
    <w:rsid w:val="00BE6B85"/>
    <w:rsid w:val="00BF0188"/>
    <w:rsid w:val="00BF028A"/>
    <w:rsid w:val="00BF0A6C"/>
    <w:rsid w:val="00BF20E1"/>
    <w:rsid w:val="00BF3639"/>
    <w:rsid w:val="00C0025E"/>
    <w:rsid w:val="00C00570"/>
    <w:rsid w:val="00C007D8"/>
    <w:rsid w:val="00C02234"/>
    <w:rsid w:val="00C034AE"/>
    <w:rsid w:val="00C06C02"/>
    <w:rsid w:val="00C07730"/>
    <w:rsid w:val="00C078A6"/>
    <w:rsid w:val="00C07D77"/>
    <w:rsid w:val="00C1075C"/>
    <w:rsid w:val="00C10A0C"/>
    <w:rsid w:val="00C22E7B"/>
    <w:rsid w:val="00C2398C"/>
    <w:rsid w:val="00C247DB"/>
    <w:rsid w:val="00C25E90"/>
    <w:rsid w:val="00C2734B"/>
    <w:rsid w:val="00C3135D"/>
    <w:rsid w:val="00C31AB1"/>
    <w:rsid w:val="00C31C7E"/>
    <w:rsid w:val="00C31E4F"/>
    <w:rsid w:val="00C32E0A"/>
    <w:rsid w:val="00C33A08"/>
    <w:rsid w:val="00C349E7"/>
    <w:rsid w:val="00C40D87"/>
    <w:rsid w:val="00C4148E"/>
    <w:rsid w:val="00C44E4C"/>
    <w:rsid w:val="00C475EF"/>
    <w:rsid w:val="00C52945"/>
    <w:rsid w:val="00C54052"/>
    <w:rsid w:val="00C5503C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5F0"/>
    <w:rsid w:val="00C76B16"/>
    <w:rsid w:val="00C7787D"/>
    <w:rsid w:val="00C80F70"/>
    <w:rsid w:val="00C83F7F"/>
    <w:rsid w:val="00C84DF8"/>
    <w:rsid w:val="00C868F0"/>
    <w:rsid w:val="00C86936"/>
    <w:rsid w:val="00C9162D"/>
    <w:rsid w:val="00C91C48"/>
    <w:rsid w:val="00C943F0"/>
    <w:rsid w:val="00C94B78"/>
    <w:rsid w:val="00C95BC8"/>
    <w:rsid w:val="00C96753"/>
    <w:rsid w:val="00C97A43"/>
    <w:rsid w:val="00CA1B69"/>
    <w:rsid w:val="00CA1F2F"/>
    <w:rsid w:val="00CA38A2"/>
    <w:rsid w:val="00CA5E84"/>
    <w:rsid w:val="00CA5F8B"/>
    <w:rsid w:val="00CA66CD"/>
    <w:rsid w:val="00CA69D7"/>
    <w:rsid w:val="00CB26AC"/>
    <w:rsid w:val="00CB38E8"/>
    <w:rsid w:val="00CB4106"/>
    <w:rsid w:val="00CB4CDC"/>
    <w:rsid w:val="00CB6893"/>
    <w:rsid w:val="00CC1D14"/>
    <w:rsid w:val="00CC24BF"/>
    <w:rsid w:val="00CC2E3C"/>
    <w:rsid w:val="00CC2F1B"/>
    <w:rsid w:val="00CC377F"/>
    <w:rsid w:val="00CC4336"/>
    <w:rsid w:val="00CC547B"/>
    <w:rsid w:val="00CC5C63"/>
    <w:rsid w:val="00CD2533"/>
    <w:rsid w:val="00CD37AB"/>
    <w:rsid w:val="00CD400A"/>
    <w:rsid w:val="00CD43AB"/>
    <w:rsid w:val="00CD44DD"/>
    <w:rsid w:val="00CD4B52"/>
    <w:rsid w:val="00CD5BA2"/>
    <w:rsid w:val="00CD5D6A"/>
    <w:rsid w:val="00CD5DA4"/>
    <w:rsid w:val="00CE3ACD"/>
    <w:rsid w:val="00CE4916"/>
    <w:rsid w:val="00CE4BE6"/>
    <w:rsid w:val="00CE4F5B"/>
    <w:rsid w:val="00CE65FF"/>
    <w:rsid w:val="00CF12B4"/>
    <w:rsid w:val="00CF1494"/>
    <w:rsid w:val="00CF2402"/>
    <w:rsid w:val="00CF3386"/>
    <w:rsid w:val="00CF4836"/>
    <w:rsid w:val="00D0257F"/>
    <w:rsid w:val="00D04966"/>
    <w:rsid w:val="00D05B26"/>
    <w:rsid w:val="00D06F22"/>
    <w:rsid w:val="00D07504"/>
    <w:rsid w:val="00D07E0F"/>
    <w:rsid w:val="00D12807"/>
    <w:rsid w:val="00D13A71"/>
    <w:rsid w:val="00D16687"/>
    <w:rsid w:val="00D1737B"/>
    <w:rsid w:val="00D21F1A"/>
    <w:rsid w:val="00D2210A"/>
    <w:rsid w:val="00D25670"/>
    <w:rsid w:val="00D25E26"/>
    <w:rsid w:val="00D2667C"/>
    <w:rsid w:val="00D278D6"/>
    <w:rsid w:val="00D32DC1"/>
    <w:rsid w:val="00D351EB"/>
    <w:rsid w:val="00D40746"/>
    <w:rsid w:val="00D43AED"/>
    <w:rsid w:val="00D44193"/>
    <w:rsid w:val="00D4636E"/>
    <w:rsid w:val="00D46ABA"/>
    <w:rsid w:val="00D47DC4"/>
    <w:rsid w:val="00D51595"/>
    <w:rsid w:val="00D53A67"/>
    <w:rsid w:val="00D5421B"/>
    <w:rsid w:val="00D54F1D"/>
    <w:rsid w:val="00D57F49"/>
    <w:rsid w:val="00D604C6"/>
    <w:rsid w:val="00D646F8"/>
    <w:rsid w:val="00D64AC5"/>
    <w:rsid w:val="00D6537F"/>
    <w:rsid w:val="00D6710A"/>
    <w:rsid w:val="00D67CD2"/>
    <w:rsid w:val="00D72856"/>
    <w:rsid w:val="00D74EB2"/>
    <w:rsid w:val="00D75CB7"/>
    <w:rsid w:val="00D81429"/>
    <w:rsid w:val="00D824E5"/>
    <w:rsid w:val="00D842CA"/>
    <w:rsid w:val="00D8637B"/>
    <w:rsid w:val="00D8753A"/>
    <w:rsid w:val="00D9034E"/>
    <w:rsid w:val="00D929B7"/>
    <w:rsid w:val="00D936B5"/>
    <w:rsid w:val="00D9434C"/>
    <w:rsid w:val="00D9568B"/>
    <w:rsid w:val="00D95960"/>
    <w:rsid w:val="00D96B8F"/>
    <w:rsid w:val="00DA1A1C"/>
    <w:rsid w:val="00DA4123"/>
    <w:rsid w:val="00DA64A0"/>
    <w:rsid w:val="00DA6B0F"/>
    <w:rsid w:val="00DA73D0"/>
    <w:rsid w:val="00DA7D25"/>
    <w:rsid w:val="00DB1549"/>
    <w:rsid w:val="00DB24DE"/>
    <w:rsid w:val="00DB298C"/>
    <w:rsid w:val="00DB29D9"/>
    <w:rsid w:val="00DB363E"/>
    <w:rsid w:val="00DB3E61"/>
    <w:rsid w:val="00DB4BA4"/>
    <w:rsid w:val="00DB643C"/>
    <w:rsid w:val="00DB7DAF"/>
    <w:rsid w:val="00DC153C"/>
    <w:rsid w:val="00DC55EA"/>
    <w:rsid w:val="00DD7D77"/>
    <w:rsid w:val="00DE59DF"/>
    <w:rsid w:val="00DE7993"/>
    <w:rsid w:val="00DF046D"/>
    <w:rsid w:val="00DF1CA4"/>
    <w:rsid w:val="00DF32CA"/>
    <w:rsid w:val="00DF5BD9"/>
    <w:rsid w:val="00DF686E"/>
    <w:rsid w:val="00DF6D25"/>
    <w:rsid w:val="00E0247D"/>
    <w:rsid w:val="00E05F86"/>
    <w:rsid w:val="00E0681E"/>
    <w:rsid w:val="00E07EAA"/>
    <w:rsid w:val="00E106EA"/>
    <w:rsid w:val="00E12F9F"/>
    <w:rsid w:val="00E1516C"/>
    <w:rsid w:val="00E22755"/>
    <w:rsid w:val="00E24E29"/>
    <w:rsid w:val="00E258B9"/>
    <w:rsid w:val="00E271BF"/>
    <w:rsid w:val="00E272B6"/>
    <w:rsid w:val="00E3096A"/>
    <w:rsid w:val="00E333D3"/>
    <w:rsid w:val="00E34824"/>
    <w:rsid w:val="00E34ED0"/>
    <w:rsid w:val="00E37058"/>
    <w:rsid w:val="00E41416"/>
    <w:rsid w:val="00E41D1B"/>
    <w:rsid w:val="00E425C3"/>
    <w:rsid w:val="00E44C86"/>
    <w:rsid w:val="00E47D7E"/>
    <w:rsid w:val="00E507E1"/>
    <w:rsid w:val="00E519F1"/>
    <w:rsid w:val="00E51ACD"/>
    <w:rsid w:val="00E54940"/>
    <w:rsid w:val="00E55894"/>
    <w:rsid w:val="00E5615E"/>
    <w:rsid w:val="00E568E2"/>
    <w:rsid w:val="00E603F3"/>
    <w:rsid w:val="00E61D7C"/>
    <w:rsid w:val="00E63817"/>
    <w:rsid w:val="00E67B49"/>
    <w:rsid w:val="00E70208"/>
    <w:rsid w:val="00E720AF"/>
    <w:rsid w:val="00E73884"/>
    <w:rsid w:val="00E75A52"/>
    <w:rsid w:val="00E76338"/>
    <w:rsid w:val="00E768A4"/>
    <w:rsid w:val="00E820BB"/>
    <w:rsid w:val="00E8269C"/>
    <w:rsid w:val="00E82EE0"/>
    <w:rsid w:val="00E85BE3"/>
    <w:rsid w:val="00E85F48"/>
    <w:rsid w:val="00E86565"/>
    <w:rsid w:val="00E87121"/>
    <w:rsid w:val="00E87576"/>
    <w:rsid w:val="00E90EF7"/>
    <w:rsid w:val="00E9230D"/>
    <w:rsid w:val="00E9348C"/>
    <w:rsid w:val="00E93F79"/>
    <w:rsid w:val="00E9415C"/>
    <w:rsid w:val="00E953A9"/>
    <w:rsid w:val="00E954FE"/>
    <w:rsid w:val="00E95D72"/>
    <w:rsid w:val="00E96199"/>
    <w:rsid w:val="00E96885"/>
    <w:rsid w:val="00E9798E"/>
    <w:rsid w:val="00EA04BC"/>
    <w:rsid w:val="00EA25BC"/>
    <w:rsid w:val="00EA2CDD"/>
    <w:rsid w:val="00EA3010"/>
    <w:rsid w:val="00EA3D10"/>
    <w:rsid w:val="00EA46D6"/>
    <w:rsid w:val="00EA53D7"/>
    <w:rsid w:val="00EA6727"/>
    <w:rsid w:val="00EB1144"/>
    <w:rsid w:val="00EB12F3"/>
    <w:rsid w:val="00EB3D6B"/>
    <w:rsid w:val="00EB3DCA"/>
    <w:rsid w:val="00EB6D7B"/>
    <w:rsid w:val="00EC4FFC"/>
    <w:rsid w:val="00EC717E"/>
    <w:rsid w:val="00EC7545"/>
    <w:rsid w:val="00EC75FC"/>
    <w:rsid w:val="00ED137A"/>
    <w:rsid w:val="00ED180B"/>
    <w:rsid w:val="00ED2578"/>
    <w:rsid w:val="00ED52E6"/>
    <w:rsid w:val="00ED5A3E"/>
    <w:rsid w:val="00EE3788"/>
    <w:rsid w:val="00EE3871"/>
    <w:rsid w:val="00EE3EB0"/>
    <w:rsid w:val="00EE4073"/>
    <w:rsid w:val="00EE694F"/>
    <w:rsid w:val="00EF0D8E"/>
    <w:rsid w:val="00EF138B"/>
    <w:rsid w:val="00EF152F"/>
    <w:rsid w:val="00EF1D6C"/>
    <w:rsid w:val="00EF55B8"/>
    <w:rsid w:val="00EF7D2D"/>
    <w:rsid w:val="00F01ED2"/>
    <w:rsid w:val="00F02E70"/>
    <w:rsid w:val="00F03D55"/>
    <w:rsid w:val="00F04E86"/>
    <w:rsid w:val="00F04E95"/>
    <w:rsid w:val="00F063D7"/>
    <w:rsid w:val="00F0678E"/>
    <w:rsid w:val="00F11871"/>
    <w:rsid w:val="00F1243B"/>
    <w:rsid w:val="00F13727"/>
    <w:rsid w:val="00F14EC2"/>
    <w:rsid w:val="00F152B3"/>
    <w:rsid w:val="00F1646B"/>
    <w:rsid w:val="00F165B9"/>
    <w:rsid w:val="00F204FC"/>
    <w:rsid w:val="00F219CB"/>
    <w:rsid w:val="00F225C5"/>
    <w:rsid w:val="00F23A87"/>
    <w:rsid w:val="00F2797C"/>
    <w:rsid w:val="00F31EB5"/>
    <w:rsid w:val="00F33E82"/>
    <w:rsid w:val="00F34B2E"/>
    <w:rsid w:val="00F3513F"/>
    <w:rsid w:val="00F354B5"/>
    <w:rsid w:val="00F369CC"/>
    <w:rsid w:val="00F3711D"/>
    <w:rsid w:val="00F37A96"/>
    <w:rsid w:val="00F4088A"/>
    <w:rsid w:val="00F4187A"/>
    <w:rsid w:val="00F4378A"/>
    <w:rsid w:val="00F44AD3"/>
    <w:rsid w:val="00F459F2"/>
    <w:rsid w:val="00F45DCB"/>
    <w:rsid w:val="00F46770"/>
    <w:rsid w:val="00F500F3"/>
    <w:rsid w:val="00F50271"/>
    <w:rsid w:val="00F50388"/>
    <w:rsid w:val="00F50A99"/>
    <w:rsid w:val="00F5190F"/>
    <w:rsid w:val="00F51BB5"/>
    <w:rsid w:val="00F52522"/>
    <w:rsid w:val="00F52B19"/>
    <w:rsid w:val="00F537B9"/>
    <w:rsid w:val="00F53CF8"/>
    <w:rsid w:val="00F545F9"/>
    <w:rsid w:val="00F63086"/>
    <w:rsid w:val="00F70E23"/>
    <w:rsid w:val="00F724B3"/>
    <w:rsid w:val="00F727D5"/>
    <w:rsid w:val="00F735ED"/>
    <w:rsid w:val="00F76769"/>
    <w:rsid w:val="00F769AA"/>
    <w:rsid w:val="00F8403B"/>
    <w:rsid w:val="00F87840"/>
    <w:rsid w:val="00F91735"/>
    <w:rsid w:val="00F91D17"/>
    <w:rsid w:val="00F928F9"/>
    <w:rsid w:val="00F935A9"/>
    <w:rsid w:val="00F93B3F"/>
    <w:rsid w:val="00F93FD7"/>
    <w:rsid w:val="00F96569"/>
    <w:rsid w:val="00F966F2"/>
    <w:rsid w:val="00FA016A"/>
    <w:rsid w:val="00FA0D53"/>
    <w:rsid w:val="00FA2944"/>
    <w:rsid w:val="00FA3444"/>
    <w:rsid w:val="00FA3929"/>
    <w:rsid w:val="00FA39E2"/>
    <w:rsid w:val="00FA416E"/>
    <w:rsid w:val="00FA447C"/>
    <w:rsid w:val="00FA771E"/>
    <w:rsid w:val="00FA7ADA"/>
    <w:rsid w:val="00FA7CFF"/>
    <w:rsid w:val="00FB07A1"/>
    <w:rsid w:val="00FB1F26"/>
    <w:rsid w:val="00FB204B"/>
    <w:rsid w:val="00FB2443"/>
    <w:rsid w:val="00FB3AAC"/>
    <w:rsid w:val="00FB42D9"/>
    <w:rsid w:val="00FB5AD5"/>
    <w:rsid w:val="00FB730F"/>
    <w:rsid w:val="00FB7887"/>
    <w:rsid w:val="00FC13C1"/>
    <w:rsid w:val="00FC2210"/>
    <w:rsid w:val="00FC26BA"/>
    <w:rsid w:val="00FC4619"/>
    <w:rsid w:val="00FC4B51"/>
    <w:rsid w:val="00FC581E"/>
    <w:rsid w:val="00FC5C5B"/>
    <w:rsid w:val="00FC625D"/>
    <w:rsid w:val="00FC6EA7"/>
    <w:rsid w:val="00FD0984"/>
    <w:rsid w:val="00FD15A8"/>
    <w:rsid w:val="00FD43CC"/>
    <w:rsid w:val="00FD601A"/>
    <w:rsid w:val="00FD6B82"/>
    <w:rsid w:val="00FD73BF"/>
    <w:rsid w:val="00FE0B3F"/>
    <w:rsid w:val="00FE0EF2"/>
    <w:rsid w:val="00FE4747"/>
    <w:rsid w:val="00FE53FA"/>
    <w:rsid w:val="00FE785B"/>
    <w:rsid w:val="00FE7D7F"/>
    <w:rsid w:val="00FF2B80"/>
    <w:rsid w:val="00FF3A85"/>
    <w:rsid w:val="00FF454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C0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85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,Lettre d'introduction,Paragrafo elenco,List Paragraph1,1st level - Bullet List Paragraph,Odsek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,Lettre d'introduction Char,Paragrafo elenco Char,List Paragraph1 Char,1st level - Bullet List Paragraph Char,Odsek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E4B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4BE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90BEE"/>
    <w:pPr>
      <w:spacing w:after="0" w:line="240" w:lineRule="auto"/>
    </w:pPr>
  </w:style>
  <w:style w:type="paragraph" w:customStyle="1" w:styleId="L1">
    <w:name w:val="L1"/>
    <w:basedOn w:val="Nadpis1"/>
    <w:qFormat/>
    <w:rsid w:val="00CB4106"/>
    <w:pPr>
      <w:keepLines w:val="0"/>
      <w:pageBreakBefore/>
      <w:spacing w:before="0" w:line="360" w:lineRule="exact"/>
    </w:pPr>
    <w:rPr>
      <w:rFonts w:ascii="Arial Narrow" w:eastAsia="Times New Roman" w:hAnsi="Arial Narrow" w:cs="Times New Roman"/>
      <w:b/>
      <w:bCs/>
      <w:caps/>
      <w:color w:val="44546A" w:themeColor="text2"/>
      <w:spacing w:val="15"/>
      <w:sz w:val="28"/>
      <w:szCs w:val="28"/>
      <w:lang w:bidi="en-US"/>
    </w:rPr>
  </w:style>
  <w:style w:type="paragraph" w:customStyle="1" w:styleId="Tabtext">
    <w:name w:val="Tab_text"/>
    <w:basedOn w:val="Normlny"/>
    <w:link w:val="TabtextChar"/>
    <w:qFormat/>
    <w:rsid w:val="00A64B3D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sk-SK"/>
    </w:rPr>
  </w:style>
  <w:style w:type="character" w:customStyle="1" w:styleId="TabtextChar">
    <w:name w:val="Tab_text Char"/>
    <w:basedOn w:val="Predvolenpsmoodseku"/>
    <w:link w:val="Tabtext"/>
    <w:rsid w:val="00A64B3D"/>
    <w:rPr>
      <w:rFonts w:ascii="Calibri" w:eastAsia="Times New Roman" w:hAnsi="Calibri" w:cs="Times New Roman"/>
      <w:sz w:val="1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rri.gov.sk/sekcie/informatizacia/broadband/" TargetMode="External"/><Relationship Id="rId2" Type="http://schemas.openxmlformats.org/officeDocument/2006/relationships/hyperlink" Target="https://www.eurofondy.gov.sk/wp-content/uploads/2022/07/220713_SK_Partnersk%C3%A1-dohoda-SR_21_27_do-SFC.pdf" TargetMode="External"/><Relationship Id="rId1" Type="http://schemas.openxmlformats.org/officeDocument/2006/relationships/hyperlink" Target="https://www.eurofondy.gov.sk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F4AC-82A6-4908-BB80-5A0219A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2023-08-09T09:23:00Z</dcterms:created>
  <dcterms:modified xsi:type="dcterms:W3CDTF">2023-09-06T10:24:00Z</dcterms:modified>
</cp:coreProperties>
</file>