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58B1" w14:textId="77777777" w:rsidR="00B10090" w:rsidRPr="005C7EAD" w:rsidRDefault="00B10090" w:rsidP="00B10090">
      <w:pPr>
        <w:pStyle w:val="wordsection1"/>
        <w:spacing w:after="120"/>
        <w:ind w:right="-284"/>
        <w:jc w:val="center"/>
        <w:rPr>
          <w:bCs/>
          <w:color w:val="000000"/>
          <w:lang w:val="en-GB"/>
        </w:rPr>
      </w:pPr>
      <w:bookmarkStart w:id="0" w:name="_GoBack"/>
      <w:r w:rsidRPr="005C7EAD">
        <w:rPr>
          <w:bCs/>
          <w:color w:val="000000"/>
          <w:lang w:val="en-GB"/>
        </w:rPr>
        <w:t>PRE INFORMÁCIU</w:t>
      </w:r>
    </w:p>
    <w:p w14:paraId="60256387" w14:textId="7690635A" w:rsidR="00B10090" w:rsidRPr="005C7EAD" w:rsidRDefault="00B10090" w:rsidP="00B10090">
      <w:pPr>
        <w:pStyle w:val="wordsection1"/>
        <w:spacing w:after="120"/>
        <w:ind w:right="-284"/>
        <w:jc w:val="both"/>
        <w:rPr>
          <w:b/>
          <w:bCs/>
          <w:color w:val="000000"/>
          <w:lang w:val="en-GB"/>
        </w:rPr>
      </w:pPr>
      <w:r w:rsidRPr="005C7EAD">
        <w:rPr>
          <w:b/>
          <w:bCs/>
          <w:color w:val="000000"/>
          <w:lang w:val="en-GB"/>
        </w:rPr>
        <w:t>Odpoveď na pripomienky Európskej komisie predložené a prerokované na Komisii pri Monitorovacom výbore pre Program Slovensko 2021-2027 pre cieľ 2 politiky súdržnosti EÚ</w:t>
      </w:r>
    </w:p>
    <w:bookmarkEnd w:id="0"/>
    <w:p w14:paraId="3B1153D0" w14:textId="04E05B4E" w:rsidR="00714572" w:rsidRPr="005C7EAD" w:rsidRDefault="00182B18" w:rsidP="00B10090">
      <w:pPr>
        <w:pStyle w:val="wordsection1"/>
        <w:ind w:right="-284"/>
        <w:jc w:val="both"/>
        <w:rPr>
          <w:b/>
          <w:bCs/>
          <w:i/>
          <w:color w:val="000000"/>
          <w:lang w:val="en-GB"/>
        </w:rPr>
      </w:pPr>
      <w:r w:rsidRPr="005C7EAD">
        <w:rPr>
          <w:bCs/>
          <w:color w:val="000000"/>
          <w:lang w:val="en-GB"/>
        </w:rPr>
        <w:t xml:space="preserve">k návrhu </w:t>
      </w:r>
      <w:r w:rsidRPr="005C7EAD">
        <w:rPr>
          <w:b/>
          <w:bCs/>
          <w:i/>
          <w:color w:val="000000"/>
          <w:lang w:val="en-GB"/>
        </w:rPr>
        <w:t>Hodnotiacich a výberových kritérií projektov</w:t>
      </w:r>
      <w:r w:rsidRPr="005C7EAD">
        <w:rPr>
          <w:bCs/>
          <w:i/>
          <w:color w:val="000000"/>
          <w:lang w:val="en-GB"/>
        </w:rPr>
        <w:t xml:space="preserve"> </w:t>
      </w:r>
      <w:r w:rsidRPr="005C7EAD">
        <w:rPr>
          <w:bCs/>
          <w:color w:val="000000"/>
          <w:lang w:val="en-GB"/>
        </w:rPr>
        <w:t xml:space="preserve">pre </w:t>
      </w:r>
      <w:r w:rsidRPr="005C7EAD">
        <w:rPr>
          <w:b/>
          <w:bCs/>
          <w:i/>
          <w:color w:val="000000"/>
          <w:lang w:val="en-GB"/>
        </w:rPr>
        <w:t xml:space="preserve">opatrenie 2.5.1 Výstavba stokovej siete a čistiarní odpadových vôd v aglomeráciách nad 2000 EO v zmysle záväzkov SR voči EÚ </w:t>
      </w:r>
    </w:p>
    <w:p w14:paraId="2E1B6660" w14:textId="5E3F9141" w:rsidR="00B10090" w:rsidRPr="005C7EAD" w:rsidRDefault="00B10090" w:rsidP="00B10090">
      <w:pPr>
        <w:pStyle w:val="wordsection1"/>
        <w:ind w:right="-284"/>
        <w:jc w:val="both"/>
        <w:rPr>
          <w:b/>
          <w:bCs/>
          <w:i/>
          <w:color w:val="000000"/>
          <w:lang w:val="en-GB"/>
        </w:rPr>
      </w:pPr>
    </w:p>
    <w:p w14:paraId="47B45756" w14:textId="4ABB28FA" w:rsidR="00B10090" w:rsidRPr="005C7EAD" w:rsidRDefault="00B10090" w:rsidP="00B10090">
      <w:pPr>
        <w:pStyle w:val="wordsection1"/>
        <w:ind w:right="-284"/>
        <w:jc w:val="both"/>
        <w:rPr>
          <w:bCs/>
          <w:color w:val="000000"/>
          <w:lang w:val="en-GB"/>
        </w:rPr>
      </w:pPr>
      <w:r w:rsidRPr="005C7EAD">
        <w:rPr>
          <w:bCs/>
          <w:color w:val="000000"/>
          <w:lang w:val="en-GB"/>
        </w:rPr>
        <w:t>Pripomienka EK:</w:t>
      </w:r>
    </w:p>
    <w:p w14:paraId="55A8E827" w14:textId="77777777" w:rsidR="00D617A6" w:rsidRPr="005C7EAD" w:rsidRDefault="00D617A6" w:rsidP="00B10090">
      <w:pPr>
        <w:pStyle w:val="wordsection1"/>
        <w:ind w:right="-284"/>
        <w:jc w:val="both"/>
        <w:rPr>
          <w:rFonts w:ascii="Calibri" w:hAnsi="Calibri" w:cs="Calibri"/>
          <w:b/>
          <w:color w:val="000000"/>
          <w:sz w:val="22"/>
          <w:szCs w:val="22"/>
          <w:u w:val="single"/>
          <w:lang w:val="en-GB"/>
        </w:rPr>
      </w:pPr>
      <w:r w:rsidRPr="005C7EAD">
        <w:rPr>
          <w:b/>
          <w:color w:val="000000"/>
          <w:u w:val="single"/>
          <w:lang w:val="en-GB"/>
        </w:rPr>
        <w:t>Measure 2.5.1 Sewerage networks with WWT in agglomeration over 2000 p.e.</w:t>
      </w:r>
    </w:p>
    <w:p w14:paraId="4BDF0C37" w14:textId="77777777" w:rsidR="00D617A6" w:rsidRPr="005C7EAD" w:rsidRDefault="00D617A6" w:rsidP="00B10090">
      <w:pPr>
        <w:pStyle w:val="wordsection1"/>
        <w:ind w:right="-284"/>
        <w:jc w:val="both"/>
        <w:rPr>
          <w:rFonts w:ascii="Calibri" w:hAnsi="Calibri" w:cs="Calibri"/>
          <w:color w:val="000000"/>
          <w:sz w:val="22"/>
          <w:szCs w:val="22"/>
          <w:lang w:val="en-GB"/>
        </w:rPr>
      </w:pPr>
      <w:r w:rsidRPr="005C7EAD">
        <w:rPr>
          <w:color w:val="000000"/>
          <w:lang w:val="en-GB"/>
        </w:rPr>
        <w:t>Elimination criterion 1: Compliance with legislation and strategic and concept documents</w:t>
      </w:r>
    </w:p>
    <w:p w14:paraId="46E470F9" w14:textId="77777777" w:rsidR="00D617A6" w:rsidRPr="005C7EAD" w:rsidRDefault="00D617A6" w:rsidP="00B10090">
      <w:pPr>
        <w:pStyle w:val="wordsection1"/>
        <w:spacing w:after="120"/>
        <w:ind w:right="-284"/>
        <w:jc w:val="both"/>
        <w:rPr>
          <w:color w:val="000000"/>
          <w:lang w:val="en-GB"/>
        </w:rPr>
      </w:pPr>
      <w:r w:rsidRPr="005C7EAD">
        <w:rPr>
          <w:color w:val="000000"/>
          <w:lang w:val="en-GB"/>
        </w:rPr>
        <w:t>Construction of WWTPs and sewerage systems is regulated by EU legislation and there are two on-g</w:t>
      </w:r>
      <w:r w:rsidR="00460EE4" w:rsidRPr="005C7EAD">
        <w:rPr>
          <w:color w:val="000000"/>
          <w:lang w:val="en-GB"/>
        </w:rPr>
        <w:t>o</w:t>
      </w:r>
      <w:r w:rsidRPr="005C7EAD">
        <w:rPr>
          <w:color w:val="000000"/>
          <w:lang w:val="en-GB"/>
        </w:rPr>
        <w:t>ing infringement proceedings against Slovakia as the Commission has identified significant problems in implementing it.</w:t>
      </w:r>
      <w:r w:rsidR="00460EE4" w:rsidRPr="005C7EAD">
        <w:rPr>
          <w:color w:val="000000"/>
          <w:lang w:val="en-GB"/>
        </w:rPr>
        <w:t xml:space="preserve"> </w:t>
      </w:r>
      <w:r w:rsidRPr="005C7EAD">
        <w:rPr>
          <w:color w:val="000000"/>
          <w:lang w:val="en-GB"/>
        </w:rPr>
        <w:t>Therefore, the progress with the missing compliance with the Urban Wastewater Treatment Directive should be presented at the sub-committee (including an update on the continuous fulfilment of the enabling condition, in particular which agglomerations should be supported from PSK as a priority in line with “Plán rozvoja verejných vodovodov a verejných kanalizácií pre územie Slovenskej republiky na roky 2021 – 2027” and how to achieve it).</w:t>
      </w:r>
    </w:p>
    <w:p w14:paraId="59E8014B" w14:textId="06B4D1D8" w:rsidR="00BC20A9" w:rsidRPr="005C7EAD" w:rsidRDefault="00AD5960" w:rsidP="00B10090">
      <w:pPr>
        <w:pStyle w:val="wordsection1"/>
        <w:spacing w:after="120"/>
        <w:ind w:right="-284"/>
        <w:jc w:val="both"/>
        <w:rPr>
          <w:iCs/>
          <w:color w:val="00B050"/>
          <w:lang w:val="en-GB"/>
        </w:rPr>
      </w:pPr>
      <w:r w:rsidRPr="005C7EAD">
        <w:rPr>
          <w:iCs/>
          <w:color w:val="00B050"/>
          <w:lang w:val="en-GB"/>
        </w:rPr>
        <w:t>....</w:t>
      </w:r>
    </w:p>
    <w:p w14:paraId="1A73D696" w14:textId="77777777" w:rsidR="00AD5960" w:rsidRPr="005C7EAD" w:rsidRDefault="00AD5960" w:rsidP="00B10090">
      <w:pPr>
        <w:pStyle w:val="wordsection1"/>
        <w:ind w:right="-284"/>
        <w:jc w:val="both"/>
        <w:rPr>
          <w:color w:val="000000"/>
          <w:lang w:val="en-GB"/>
        </w:rPr>
      </w:pPr>
      <w:r w:rsidRPr="005C7EAD">
        <w:rPr>
          <w:color w:val="000000"/>
          <w:lang w:val="en-GB"/>
        </w:rPr>
        <w:t>On top of it,  Slovakia has not fulfilled several obligations of the EC directive 91/271/EEC on Urban Wastewater Treatment concerning wastewater treatment in agglomerations over 2000 p.e.,. and those agglomerations that are subject to the current legal proceedings should be addressed at the first place in terms of evaluation as well as in terms of the projects preparation, which does not seem to be the case. In any case, as the first criterion, it should be the alignment with the Plán rozvoja verejných vodovodov a verejných kanalizácií pre územie Slovenskej republiky na roky 2021 – 2027</w:t>
      </w:r>
      <w:r w:rsidRPr="005C7EAD">
        <w:rPr>
          <w:color w:val="1F497D"/>
          <w:lang w:val="en-GB"/>
        </w:rPr>
        <w:t>.</w:t>
      </w:r>
    </w:p>
    <w:p w14:paraId="0453C6E3" w14:textId="2E34D01B" w:rsidR="00252C84" w:rsidRPr="005C7EAD" w:rsidRDefault="00252C84" w:rsidP="00B10090">
      <w:pPr>
        <w:pStyle w:val="wordsection1"/>
        <w:ind w:right="-284"/>
        <w:jc w:val="both"/>
        <w:rPr>
          <w:iCs/>
          <w:color w:val="00B050"/>
          <w:lang w:val="en-GB"/>
        </w:rPr>
      </w:pPr>
    </w:p>
    <w:p w14:paraId="5DBB7305" w14:textId="39C0858F" w:rsidR="00252C84" w:rsidRPr="005C7EAD" w:rsidRDefault="00252C84" w:rsidP="00B10090">
      <w:pPr>
        <w:pStyle w:val="wordsection1"/>
        <w:spacing w:after="120"/>
        <w:ind w:right="-284"/>
        <w:jc w:val="both"/>
        <w:rPr>
          <w:b/>
          <w:i/>
          <w:iCs/>
          <w:color w:val="2F5496" w:themeColor="accent5" w:themeShade="BF"/>
          <w:sz w:val="22"/>
          <w:szCs w:val="22"/>
          <w:lang w:val="en-GB"/>
        </w:rPr>
      </w:pPr>
      <w:r w:rsidRPr="005C7EAD">
        <w:rPr>
          <w:b/>
          <w:iCs/>
          <w:color w:val="2F5496" w:themeColor="accent5" w:themeShade="BF"/>
          <w:lang w:val="en-GB"/>
        </w:rPr>
        <w:t xml:space="preserve">Reakcia </w:t>
      </w:r>
      <w:r w:rsidR="00EA09F2" w:rsidRPr="005C7EAD">
        <w:rPr>
          <w:b/>
          <w:iCs/>
          <w:color w:val="2F5496" w:themeColor="accent5" w:themeShade="BF"/>
          <w:lang w:val="en-GB"/>
        </w:rPr>
        <w:t xml:space="preserve">sprostredkovateľského orgánu </w:t>
      </w:r>
      <w:r w:rsidRPr="005C7EAD">
        <w:rPr>
          <w:b/>
          <w:iCs/>
          <w:color w:val="2F5496" w:themeColor="accent5" w:themeShade="BF"/>
          <w:lang w:val="en-GB"/>
        </w:rPr>
        <w:t>MŽP SR:</w:t>
      </w:r>
    </w:p>
    <w:p w14:paraId="3809955F" w14:textId="4CA688EB" w:rsidR="00BC20A9" w:rsidRPr="005C7EAD" w:rsidRDefault="00BC20A9" w:rsidP="00B10090">
      <w:pPr>
        <w:spacing w:after="120" w:line="240" w:lineRule="auto"/>
        <w:ind w:right="-284"/>
        <w:jc w:val="both"/>
        <w:rPr>
          <w:rFonts w:ascii="Times New Roman" w:eastAsia="Times New Roman" w:hAnsi="Times New Roman" w:cs="Times New Roman"/>
          <w:bCs/>
          <w:color w:val="2F5496" w:themeColor="accent5" w:themeShade="BF"/>
          <w:sz w:val="24"/>
          <w:szCs w:val="24"/>
          <w:lang w:eastAsia="sk-SK"/>
        </w:rPr>
      </w:pPr>
      <w:r w:rsidRPr="005C7EAD">
        <w:rPr>
          <w:rFonts w:ascii="Times New Roman" w:hAnsi="Times New Roman" w:cs="Times New Roman"/>
          <w:color w:val="2F5496" w:themeColor="accent5" w:themeShade="BF"/>
          <w:sz w:val="24"/>
          <w:szCs w:val="24"/>
        </w:rPr>
        <w:t xml:space="preserve">V prípade opatrenia </w:t>
      </w:r>
      <w:r w:rsidRPr="005C7EAD">
        <w:rPr>
          <w:rFonts w:ascii="Times New Roman" w:hAnsi="Times New Roman" w:cs="Times New Roman"/>
          <w:i/>
          <w:color w:val="2F5496" w:themeColor="accent5" w:themeShade="BF"/>
          <w:sz w:val="24"/>
          <w:szCs w:val="24"/>
        </w:rPr>
        <w:t xml:space="preserve">2.5.1 Výstavba stokovej siete a čistiarní odpadových vôd v aglomeráciách nad 2000 EO v zmysle záväzkov SR voči EÚ </w:t>
      </w:r>
      <w:r w:rsidRPr="005C7EAD">
        <w:rPr>
          <w:rFonts w:ascii="Times New Roman" w:hAnsi="Times New Roman" w:cs="Times New Roman"/>
          <w:color w:val="2F5496" w:themeColor="accent5" w:themeShade="BF"/>
          <w:sz w:val="24"/>
          <w:szCs w:val="24"/>
        </w:rPr>
        <w:t xml:space="preserve">sa v rámci kritéria </w:t>
      </w:r>
      <w:r w:rsidRPr="005C7EAD">
        <w:rPr>
          <w:rFonts w:ascii="Times New Roman" w:eastAsia="Times New Roman" w:hAnsi="Times New Roman" w:cs="Times New Roman"/>
          <w:b/>
          <w:bCs/>
          <w:i/>
          <w:color w:val="2F5496" w:themeColor="accent5" w:themeShade="BF"/>
          <w:sz w:val="24"/>
          <w:szCs w:val="24"/>
          <w:lang w:eastAsia="sk-SK"/>
        </w:rPr>
        <w:t xml:space="preserve">Súlad projektu s legislatívou a so strategickými a koncepčnými dokumentmi na úseku vodného hospodárstva </w:t>
      </w:r>
      <w:r w:rsidRPr="005C7EAD">
        <w:rPr>
          <w:rFonts w:ascii="Times New Roman" w:eastAsia="Times New Roman" w:hAnsi="Times New Roman" w:cs="Times New Roman"/>
          <w:bCs/>
          <w:color w:val="2F5496" w:themeColor="accent5" w:themeShade="BF"/>
          <w:sz w:val="24"/>
          <w:szCs w:val="24"/>
          <w:lang w:eastAsia="sk-SK"/>
        </w:rPr>
        <w:t xml:space="preserve">posudzuje súlad projektu so záväzkami SR, ktoré vyplývajú z </w:t>
      </w:r>
      <w:r w:rsidRPr="005C7EAD">
        <w:rPr>
          <w:rFonts w:ascii="Times New Roman" w:hAnsi="Times New Roman" w:cs="Times New Roman"/>
          <w:color w:val="2F5496" w:themeColor="accent5" w:themeShade="BF"/>
          <w:sz w:val="24"/>
          <w:szCs w:val="24"/>
        </w:rPr>
        <w:t>aktualizovaného Národného programu SR pre vykonávanie smernice Rady 91/271/EHS k 31. 12. 2020.</w:t>
      </w:r>
      <w:r w:rsidRPr="005C7EAD">
        <w:rPr>
          <w:rFonts w:ascii="Times New Roman" w:eastAsia="Times New Roman" w:hAnsi="Times New Roman" w:cs="Times New Roman"/>
          <w:bCs/>
          <w:color w:val="2F5496" w:themeColor="accent5" w:themeShade="BF"/>
          <w:sz w:val="24"/>
          <w:szCs w:val="24"/>
          <w:lang w:eastAsia="sk-SK"/>
        </w:rPr>
        <w:t xml:space="preserve"> </w:t>
      </w:r>
    </w:p>
    <w:p w14:paraId="13FFD9FD" w14:textId="3A3FD624" w:rsidR="002152CC" w:rsidRPr="005C7EAD" w:rsidRDefault="00BC20A9" w:rsidP="00B10090">
      <w:pPr>
        <w:spacing w:after="120" w:line="240" w:lineRule="auto"/>
        <w:ind w:right="-284"/>
        <w:jc w:val="both"/>
        <w:rPr>
          <w:rFonts w:ascii="Times New Roman" w:hAnsi="Times New Roman" w:cs="Times New Roman"/>
          <w:color w:val="2F5496" w:themeColor="accent5" w:themeShade="BF"/>
          <w:sz w:val="24"/>
          <w:szCs w:val="24"/>
        </w:rPr>
      </w:pPr>
      <w:r w:rsidRPr="005C7EAD">
        <w:rPr>
          <w:rFonts w:ascii="Times New Roman" w:hAnsi="Times New Roman" w:cs="Times New Roman"/>
          <w:color w:val="2F5496" w:themeColor="accent5" w:themeShade="BF"/>
          <w:sz w:val="24"/>
          <w:szCs w:val="24"/>
        </w:rPr>
        <w:t>SR predkladá Európskej komisii v dvojročných intervaloch zoznamy aglomerácií nad 2 000 EO, v ktorých odvádzanie a/alebo čistenie komunálnych odpadových vôd nie je v súlade s požiadavkami smernice Rady 91/271/EHS</w:t>
      </w:r>
      <w:r w:rsidR="00F66538" w:rsidRPr="005C7EAD">
        <w:rPr>
          <w:rFonts w:ascii="Times New Roman" w:hAnsi="Times New Roman" w:cs="Times New Roman"/>
          <w:color w:val="2F5496" w:themeColor="accent5" w:themeShade="BF"/>
          <w:sz w:val="24"/>
          <w:szCs w:val="24"/>
        </w:rPr>
        <w:t>. Naposledy, t. j. v polovici roka 2022, bol EK predložený odpočet aktuálneho stavu vykonávania smernice Rady  91/271/EHS, ktorým je aktualizovaný Národný program SR pre vykonávanie smernice Rady 91/271/EHS k 31. 12. 2020. v rámci daného kritéria sa teda bude posudzovať súlad projektu so zoznamom aglomerácií nad 2 000 EO, ktorý vychádza z aktualizovaného Národného programu SR pre vykonávanie smernice Rady 91/271/EHS k 31. 12. 2020, predloženého Európskej komisii v polovici roka 2022. V zozname sú uvedené aglomerácie,  ktoré k danému termínu neboli z pohľadu plnenia záväzkov SR v súlade s jednotlivými článkami 3, 4 a 5 smernice  Rady 91/271/EHS. Zoznam obsahuje spolu 89 aglomerácií nad 2000 EO (vrátane aglomerácií, ktoré predložili projekt z OP KŽP. V prípade úspešného ukončenia projektu z OP KŽP budú príslušné aglomerácie zo zoznamu vypustené).</w:t>
      </w:r>
      <w:r w:rsidR="002152CC" w:rsidRPr="005C7EAD">
        <w:rPr>
          <w:rFonts w:ascii="Times New Roman" w:hAnsi="Times New Roman" w:cs="Times New Roman"/>
          <w:color w:val="2F5496" w:themeColor="accent5" w:themeShade="BF"/>
          <w:sz w:val="24"/>
          <w:szCs w:val="24"/>
        </w:rPr>
        <w:t xml:space="preserve"> Keďže predmetné aglomerácie boli vykázané ako nedosahujúce súlad s článkami 3, 4 a 5 smernice  Rady 91/271/EHS, ich podpora s cieľom zabezpečenia ich súladu so smernicou  Rady 91/271/EHS je súčasťou záväzkov SR voči EÚ v oblasti odvádzania a čistenia odpadových vôd</w:t>
      </w:r>
      <w:r w:rsidR="006708EC" w:rsidRPr="005C7EAD">
        <w:rPr>
          <w:rFonts w:ascii="Times New Roman" w:hAnsi="Times New Roman" w:cs="Times New Roman"/>
          <w:color w:val="2F5496" w:themeColor="accent5" w:themeShade="BF"/>
          <w:sz w:val="24"/>
          <w:szCs w:val="24"/>
        </w:rPr>
        <w:t xml:space="preserve">, a teda dosiahnutia súladu s článkami 3, 4 a 5 smernice  Rady 91/271/EHS.  </w:t>
      </w:r>
    </w:p>
    <w:p w14:paraId="2BB1A599" w14:textId="161F915B" w:rsidR="00ED295C" w:rsidRPr="005C7EAD" w:rsidRDefault="00ED295C" w:rsidP="00B10090">
      <w:pPr>
        <w:tabs>
          <w:tab w:val="left" w:pos="426"/>
        </w:tabs>
        <w:spacing w:after="120" w:line="240" w:lineRule="auto"/>
        <w:ind w:right="-284"/>
        <w:jc w:val="both"/>
        <w:rPr>
          <w:rFonts w:ascii="Times New Roman" w:hAnsi="Times New Roman" w:cs="Times New Roman"/>
          <w:color w:val="2F5496" w:themeColor="accent5" w:themeShade="BF"/>
          <w:sz w:val="24"/>
          <w:szCs w:val="24"/>
        </w:rPr>
      </w:pPr>
      <w:r w:rsidRPr="005C7EAD">
        <w:rPr>
          <w:rFonts w:ascii="Times New Roman" w:hAnsi="Times New Roman" w:cs="Times New Roman"/>
          <w:color w:val="2F5496" w:themeColor="accent5" w:themeShade="BF"/>
          <w:sz w:val="24"/>
          <w:szCs w:val="24"/>
        </w:rPr>
        <w:lastRenderedPageBreak/>
        <w:t xml:space="preserve">V nadväznosti na požiadavku EK uviesť ako prvé kritérium súlad podporovaných aglomerácií s informáciami uvedenými v Pláne rozvoja verejných vodovodov a verejných kanalizácií pre územie Slovenskej republiky na roky 2021 – 2027 (PRVVaVK), bude v súlade s vyjadrením sekcie vôd  vypracovaná  aktualizácia prílohy 6A k PRVVaVK do konca augusta 2023 tak, aby odrážala aktuálny stav aglomerácií nad 2000 EO zahrnutých v Národnom programe SR pre vykonávanie smernice Rady 91/271/EHS. </w:t>
      </w:r>
      <w:r w:rsidR="00D42BE6" w:rsidRPr="005C7EAD">
        <w:rPr>
          <w:rFonts w:ascii="Times New Roman" w:hAnsi="Times New Roman" w:cs="Times New Roman"/>
          <w:color w:val="2F5496" w:themeColor="accent5" w:themeShade="BF"/>
          <w:sz w:val="24"/>
          <w:szCs w:val="24"/>
        </w:rPr>
        <w:t xml:space="preserve">Aktuálne platný PRVVaVK vychádzal zo starších údajov než boli odpočtované EK.  </w:t>
      </w:r>
    </w:p>
    <w:p w14:paraId="3E06F354" w14:textId="7EF51C94" w:rsidR="00ED295C" w:rsidRPr="005C7EAD" w:rsidRDefault="00BE755A" w:rsidP="00B10090">
      <w:pPr>
        <w:tabs>
          <w:tab w:val="left" w:pos="426"/>
        </w:tabs>
        <w:spacing w:after="240" w:line="240" w:lineRule="auto"/>
        <w:ind w:right="-284"/>
        <w:jc w:val="both"/>
        <w:rPr>
          <w:rFonts w:ascii="Times New Roman" w:hAnsi="Times New Roman" w:cs="Times New Roman"/>
          <w:b/>
          <w:i/>
          <w:color w:val="2F5496" w:themeColor="accent5" w:themeShade="BF"/>
          <w:sz w:val="24"/>
          <w:szCs w:val="24"/>
        </w:rPr>
      </w:pPr>
      <w:r w:rsidRPr="005C7EAD">
        <w:rPr>
          <w:rFonts w:ascii="Times New Roman" w:hAnsi="Times New Roman" w:cs="Times New Roman"/>
          <w:color w:val="2F5496" w:themeColor="accent5" w:themeShade="BF"/>
          <w:sz w:val="24"/>
          <w:szCs w:val="24"/>
        </w:rPr>
        <w:t xml:space="preserve">Na základe pripomienky EK a vyššie uvedených informácií bolo v prípade opatrenia </w:t>
      </w:r>
      <w:r w:rsidRPr="005C7EAD">
        <w:rPr>
          <w:rFonts w:ascii="Times New Roman" w:hAnsi="Times New Roman" w:cs="Times New Roman"/>
          <w:i/>
          <w:color w:val="2F5496" w:themeColor="accent5" w:themeShade="BF"/>
          <w:sz w:val="24"/>
          <w:szCs w:val="24"/>
        </w:rPr>
        <w:t xml:space="preserve">2.5.1 Výstavba stokovej siete a čistiarní odpadových vôd v aglomeráciách nad 2000 EO v zmysle záväzkov SR voči EÚ </w:t>
      </w:r>
      <w:r w:rsidRPr="005C7EAD">
        <w:rPr>
          <w:rFonts w:ascii="Times New Roman" w:hAnsi="Times New Roman" w:cs="Times New Roman"/>
          <w:color w:val="2F5496" w:themeColor="accent5" w:themeShade="BF"/>
          <w:sz w:val="24"/>
          <w:szCs w:val="24"/>
        </w:rPr>
        <w:t xml:space="preserve">v rámci kritéria </w:t>
      </w:r>
      <w:r w:rsidRPr="005C7EAD">
        <w:rPr>
          <w:rFonts w:ascii="Times New Roman" w:eastAsia="Times New Roman" w:hAnsi="Times New Roman" w:cs="Times New Roman"/>
          <w:b/>
          <w:bCs/>
          <w:i/>
          <w:color w:val="2F5496" w:themeColor="accent5" w:themeShade="BF"/>
          <w:sz w:val="24"/>
          <w:szCs w:val="24"/>
          <w:lang w:eastAsia="sk-SK"/>
        </w:rPr>
        <w:t>Súlad projektu s legislatívou a so strategickými a koncepčnými dokumentmi na úseku vodného hospodárstva</w:t>
      </w:r>
      <w:r w:rsidRPr="005C7EAD">
        <w:rPr>
          <w:rFonts w:ascii="Times New Roman" w:eastAsia="Times New Roman" w:hAnsi="Times New Roman" w:cs="Times New Roman"/>
          <w:bCs/>
          <w:color w:val="2F5496" w:themeColor="accent5" w:themeShade="BF"/>
          <w:sz w:val="24"/>
          <w:szCs w:val="24"/>
          <w:lang w:eastAsia="sk-SK"/>
        </w:rPr>
        <w:t xml:space="preserve"> upravené znenie hodnotiacej otázky v písm. A (z pôvodného znenia: „Je v prípade aglomerácií nad 2000 EO  projekt v súlade s Národným programom Slovenskej republiky pre vykonávanie smernice Rady 91/271/EHS  – podľa ostatného odpočtu stavu jeho plnenia?“) takto: </w:t>
      </w:r>
      <w:r w:rsidRPr="005C7EAD">
        <w:rPr>
          <w:rFonts w:ascii="Times New Roman" w:eastAsia="Times New Roman" w:hAnsi="Times New Roman" w:cs="Times New Roman"/>
          <w:b/>
          <w:bCs/>
          <w:i/>
          <w:color w:val="2F5496" w:themeColor="accent5" w:themeShade="BF"/>
          <w:sz w:val="24"/>
          <w:szCs w:val="24"/>
          <w:lang w:eastAsia="sk-SK"/>
        </w:rPr>
        <w:t xml:space="preserve">„Je v prípade aglomerácií nad 2000 EO  projekt v súlade s Národným programom Slovenskej republiky pre vykonávanie smernice Rady 91/271/EHS a prílohou 6A </w:t>
      </w:r>
      <w:r w:rsidRPr="005C7EAD">
        <w:rPr>
          <w:rFonts w:ascii="Times New Roman" w:hAnsi="Times New Roman" w:cs="Times New Roman"/>
          <w:b/>
          <w:i/>
          <w:color w:val="2F5496" w:themeColor="accent5" w:themeShade="BF"/>
          <w:sz w:val="24"/>
          <w:szCs w:val="24"/>
        </w:rPr>
        <w:t>Plánu rozvoja verejných vodovodov a verejných kanalizácií pre územie Slovenskej republiky na roky 2021 – 2027?</w:t>
      </w:r>
      <w:r w:rsidR="00252C84" w:rsidRPr="005C7EAD">
        <w:rPr>
          <w:rFonts w:ascii="Times New Roman" w:hAnsi="Times New Roman" w:cs="Times New Roman"/>
          <w:b/>
          <w:i/>
          <w:color w:val="2F5496" w:themeColor="accent5" w:themeShade="BF"/>
          <w:sz w:val="24"/>
          <w:szCs w:val="24"/>
        </w:rPr>
        <w:t>“</w:t>
      </w:r>
    </w:p>
    <w:p w14:paraId="159DD201" w14:textId="77777777" w:rsidR="00B10090" w:rsidRPr="005C7EAD" w:rsidRDefault="00B10090" w:rsidP="00B10090">
      <w:pPr>
        <w:pStyle w:val="wordsection1"/>
        <w:ind w:right="-284"/>
        <w:jc w:val="both"/>
        <w:rPr>
          <w:bCs/>
          <w:color w:val="000000"/>
          <w:lang w:val="en-GB"/>
        </w:rPr>
      </w:pPr>
      <w:r w:rsidRPr="005C7EAD">
        <w:rPr>
          <w:bCs/>
          <w:color w:val="000000"/>
          <w:lang w:val="en-GB"/>
        </w:rPr>
        <w:t>Pripomienka EK:</w:t>
      </w:r>
    </w:p>
    <w:p w14:paraId="0DD0A0C5" w14:textId="77777777" w:rsidR="006708EC" w:rsidRPr="005C7EAD" w:rsidRDefault="006708EC" w:rsidP="00B10090">
      <w:pPr>
        <w:pStyle w:val="wordsection1"/>
        <w:spacing w:after="240"/>
        <w:ind w:right="-284"/>
        <w:jc w:val="both"/>
        <w:rPr>
          <w:i/>
          <w:iCs/>
          <w:color w:val="00B050"/>
          <w:lang w:val="en-GB"/>
        </w:rPr>
      </w:pPr>
      <w:r w:rsidRPr="005C7EAD">
        <w:rPr>
          <w:color w:val="000000"/>
          <w:lang w:val="en-GB"/>
        </w:rPr>
        <w:t xml:space="preserve">The presented criterion includes also the category of projects in agglomerations below 2000 p.e. Although the support of Wastewater Treatment Plants in the agglomerations below 2000 p.e. with the already built sewage network at least up to 80% is in line with PSK, the priority under 2.5.1 should be given to agglomerations above 2000 p.e. while we would suggest that support to agglomerations under 2000 p.e. should be covered entirely under 2.5.2. </w:t>
      </w:r>
    </w:p>
    <w:p w14:paraId="11043041" w14:textId="77777777" w:rsidR="00B10090" w:rsidRPr="005C7EAD" w:rsidRDefault="00B10090" w:rsidP="00B10090">
      <w:pPr>
        <w:pStyle w:val="wordsection1"/>
        <w:spacing w:after="120"/>
        <w:ind w:right="-284"/>
        <w:jc w:val="both"/>
        <w:rPr>
          <w:b/>
          <w:i/>
          <w:iCs/>
          <w:color w:val="2F5496" w:themeColor="accent5" w:themeShade="BF"/>
          <w:sz w:val="22"/>
          <w:szCs w:val="22"/>
          <w:lang w:val="en-GB"/>
        </w:rPr>
      </w:pPr>
      <w:r w:rsidRPr="005C7EAD">
        <w:rPr>
          <w:b/>
          <w:iCs/>
          <w:color w:val="2F5496" w:themeColor="accent5" w:themeShade="BF"/>
          <w:lang w:val="en-GB"/>
        </w:rPr>
        <w:t>Reakcia sprostredkovateľského orgánu MŽP SR:</w:t>
      </w:r>
    </w:p>
    <w:p w14:paraId="2F7D43FD" w14:textId="77777777" w:rsidR="001A1F44" w:rsidRPr="005C7EAD" w:rsidRDefault="00AD5960" w:rsidP="00B10090">
      <w:pPr>
        <w:pStyle w:val="wordsection1"/>
        <w:spacing w:after="120"/>
        <w:ind w:right="-284"/>
        <w:jc w:val="both"/>
        <w:rPr>
          <w:iCs/>
          <w:color w:val="2F5496" w:themeColor="accent5" w:themeShade="BF"/>
          <w:lang w:val="en-GB"/>
        </w:rPr>
      </w:pPr>
      <w:r w:rsidRPr="005C7EAD">
        <w:rPr>
          <w:iCs/>
          <w:color w:val="2F5496" w:themeColor="accent5" w:themeShade="BF"/>
          <w:lang w:val="en-GB"/>
        </w:rPr>
        <w:t xml:space="preserve">V rámci opatrenia 2.5.1 budú prioritne podporované aglomerácie nad 2 000 EO, na ktoré sa vzťahujú záväzky SR voči EÚ vyplývajúce z požiadaviek smernice Rady 91/271/EHS o čistení komunálnych odpadových vôd uvedené v Národnom programe SR pre vykonávanie smernice Rady 91/271/EHS o čistení komunálnych odpadových vôd. </w:t>
      </w:r>
      <w:r w:rsidR="00D42BE6" w:rsidRPr="005C7EAD">
        <w:rPr>
          <w:iCs/>
          <w:color w:val="2F5496" w:themeColor="accent5" w:themeShade="BF"/>
          <w:lang w:val="en-GB"/>
        </w:rPr>
        <w:t xml:space="preserve">Rozsah podpory v rámci opatrenia 2.5.1 vychádza priamo z jeho vymedzenia / opisu </w:t>
      </w:r>
      <w:r w:rsidR="00707A3C" w:rsidRPr="005C7EAD">
        <w:rPr>
          <w:iCs/>
          <w:color w:val="2F5496" w:themeColor="accent5" w:themeShade="BF"/>
          <w:lang w:val="en-GB"/>
        </w:rPr>
        <w:t xml:space="preserve">uvedeného v </w:t>
      </w:r>
      <w:r w:rsidR="00D42BE6" w:rsidRPr="005C7EAD">
        <w:rPr>
          <w:iCs/>
          <w:color w:val="2F5496" w:themeColor="accent5" w:themeShade="BF"/>
          <w:lang w:val="en-GB"/>
        </w:rPr>
        <w:t>Program</w:t>
      </w:r>
      <w:r w:rsidR="00707A3C" w:rsidRPr="005C7EAD">
        <w:rPr>
          <w:iCs/>
          <w:color w:val="2F5496" w:themeColor="accent5" w:themeShade="BF"/>
          <w:lang w:val="en-GB"/>
        </w:rPr>
        <w:t>e</w:t>
      </w:r>
      <w:r w:rsidR="00D42BE6" w:rsidRPr="005C7EAD">
        <w:rPr>
          <w:iCs/>
          <w:color w:val="2F5496" w:themeColor="accent5" w:themeShade="BF"/>
          <w:lang w:val="en-GB"/>
        </w:rPr>
        <w:t xml:space="preserve"> Slovensko 2021</w:t>
      </w:r>
      <w:r w:rsidR="00707A3C" w:rsidRPr="005C7EAD">
        <w:rPr>
          <w:iCs/>
          <w:color w:val="2F5496" w:themeColor="accent5" w:themeShade="BF"/>
          <w:lang w:val="en-GB"/>
        </w:rPr>
        <w:t xml:space="preserve"> </w:t>
      </w:r>
      <w:r w:rsidR="00D42BE6" w:rsidRPr="005C7EAD">
        <w:rPr>
          <w:iCs/>
          <w:color w:val="2F5496" w:themeColor="accent5" w:themeShade="BF"/>
          <w:lang w:val="en-GB"/>
        </w:rPr>
        <w:t>-2027</w:t>
      </w:r>
      <w:r w:rsidR="00707A3C" w:rsidRPr="005C7EAD">
        <w:rPr>
          <w:iCs/>
          <w:color w:val="2F5496" w:themeColor="accent5" w:themeShade="BF"/>
          <w:lang w:val="en-GB"/>
        </w:rPr>
        <w:t xml:space="preserve"> v znení, ktoré bolo schválené Európskou komisiou. Prípad aglomerácií do 2000 E</w:t>
      </w:r>
      <w:r w:rsidR="001A1F44" w:rsidRPr="005C7EAD">
        <w:rPr>
          <w:iCs/>
          <w:color w:val="2F5496" w:themeColor="accent5" w:themeShade="BF"/>
          <w:lang w:val="en-GB"/>
        </w:rPr>
        <w:t>O</w:t>
      </w:r>
      <w:r w:rsidR="00707A3C" w:rsidRPr="005C7EAD">
        <w:rPr>
          <w:iCs/>
          <w:color w:val="2F5496" w:themeColor="accent5" w:themeShade="BF"/>
          <w:lang w:val="en-GB"/>
        </w:rPr>
        <w:t xml:space="preserve">, ktoré </w:t>
      </w:r>
      <w:r w:rsidR="001A1F44" w:rsidRPr="005C7EAD">
        <w:rPr>
          <w:iCs/>
          <w:color w:val="2F5496" w:themeColor="accent5" w:themeShade="BF"/>
          <w:lang w:val="en-GB"/>
        </w:rPr>
        <w:t xml:space="preserve">už </w:t>
      </w:r>
      <w:r w:rsidR="00707A3C" w:rsidRPr="005C7EAD">
        <w:rPr>
          <w:iCs/>
          <w:color w:val="2F5496" w:themeColor="accent5" w:themeShade="BF"/>
          <w:lang w:val="en-GB"/>
        </w:rPr>
        <w:t>majú vybudovanú stokovú sieť najmenej na 80 % a nemajú zabezpe</w:t>
      </w:r>
      <w:r w:rsidR="001A1F44" w:rsidRPr="005C7EAD">
        <w:rPr>
          <w:iCs/>
          <w:color w:val="2F5496" w:themeColor="accent5" w:themeShade="BF"/>
          <w:lang w:val="en-GB"/>
        </w:rPr>
        <w:t>čené čistenia komunálnych odpadových vôd na ČOV je špecifickým prípadom, ktorý, rovnako ako odvádzanie a čistenie komunálnych odpadových vôd v aglomeráciách nad 2000 EO, vyplýva z požiadaviek</w:t>
      </w:r>
      <w:r w:rsidRPr="005C7EAD">
        <w:rPr>
          <w:iCs/>
          <w:color w:val="2F5496" w:themeColor="accent5" w:themeShade="BF"/>
          <w:lang w:val="en-GB"/>
        </w:rPr>
        <w:t xml:space="preserve"> smernice Rady 91/271/EHS o čistení komunálnych odpadových vôd priebežne zabezpečovať primerané čistenie odpadových vôd vo všetkých aglomeráciách pod 2 000 ekvivalentných obyvateľov, ktoré majú vybudovanú stokovú sieť. </w:t>
      </w:r>
      <w:r w:rsidR="001A1F44" w:rsidRPr="005C7EAD">
        <w:rPr>
          <w:iCs/>
          <w:color w:val="2F5496" w:themeColor="accent5" w:themeShade="BF"/>
          <w:lang w:val="en-GB"/>
        </w:rPr>
        <w:t>Opatrenie 2.5.1 teda zahŕňa obe požiadavky priamo vyplývajúce zo smernice Rady 91/271/EHS.</w:t>
      </w:r>
    </w:p>
    <w:p w14:paraId="02D06320" w14:textId="4E28CAE6" w:rsidR="00956449" w:rsidRPr="005C7EAD" w:rsidRDefault="001A1F44" w:rsidP="00B10090">
      <w:pPr>
        <w:pStyle w:val="wordsection1"/>
        <w:ind w:right="-284"/>
        <w:jc w:val="both"/>
        <w:rPr>
          <w:i/>
          <w:iCs/>
          <w:color w:val="2F5496" w:themeColor="accent5" w:themeShade="BF"/>
          <w:lang w:val="en-GB"/>
        </w:rPr>
      </w:pPr>
      <w:r w:rsidRPr="005C7EAD">
        <w:rPr>
          <w:iCs/>
          <w:color w:val="2F5496" w:themeColor="accent5" w:themeShade="BF"/>
          <w:lang w:val="en-GB"/>
        </w:rPr>
        <w:t>Zároveň ani alokácia v Programe Slovensko na opatrenie 2.5.2, ktoré sa vzťahuje na aglomerácie do 2000 EO, nezahŕňa finančné zdroje na zabezpečenie čistenia komunálnych odpadových vôd v a</w:t>
      </w:r>
      <w:r w:rsidR="00AB7550" w:rsidRPr="005C7EAD">
        <w:rPr>
          <w:iCs/>
          <w:color w:val="2F5496" w:themeColor="accent5" w:themeShade="BF"/>
          <w:lang w:val="en-GB"/>
        </w:rPr>
        <w:t xml:space="preserve">glomeráciách do 2000 EO, ktoré </w:t>
      </w:r>
      <w:r w:rsidRPr="005C7EAD">
        <w:rPr>
          <w:iCs/>
          <w:color w:val="2F5496" w:themeColor="accent5" w:themeShade="BF"/>
          <w:lang w:val="en-GB"/>
        </w:rPr>
        <w:t xml:space="preserve">už majú vybudovanú stokovú sieť najmenej na 80 %.  </w:t>
      </w:r>
    </w:p>
    <w:p w14:paraId="40FF48C2" w14:textId="77777777" w:rsidR="00CE2763" w:rsidRPr="005C7EAD" w:rsidRDefault="00CE2763" w:rsidP="00B10090">
      <w:pPr>
        <w:pStyle w:val="wordsection1"/>
        <w:ind w:right="-284"/>
        <w:jc w:val="both"/>
        <w:rPr>
          <w:rFonts w:ascii="Calibri" w:hAnsi="Calibri" w:cs="Calibri"/>
          <w:i/>
          <w:iCs/>
          <w:color w:val="1F497D"/>
          <w:sz w:val="22"/>
          <w:szCs w:val="22"/>
          <w:lang w:val="en-GB"/>
        </w:rPr>
      </w:pPr>
    </w:p>
    <w:p w14:paraId="6F01FBCA" w14:textId="77777777" w:rsidR="00D27F1C" w:rsidRPr="005C7EAD" w:rsidRDefault="00D27F1C" w:rsidP="00B10090">
      <w:pPr>
        <w:pStyle w:val="wordsection1"/>
        <w:shd w:val="clear" w:color="auto" w:fill="FFFFFF"/>
        <w:ind w:right="-284"/>
        <w:jc w:val="both"/>
        <w:rPr>
          <w:color w:val="2F5496" w:themeColor="accent5" w:themeShade="BF"/>
          <w:lang w:val="en-GB"/>
        </w:rPr>
      </w:pPr>
    </w:p>
    <w:sectPr w:rsidR="00D27F1C" w:rsidRPr="005C7E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4B33" w14:textId="77777777" w:rsidR="008652A3" w:rsidRDefault="008652A3" w:rsidP="00914852">
      <w:pPr>
        <w:spacing w:after="0" w:line="240" w:lineRule="auto"/>
      </w:pPr>
      <w:r>
        <w:separator/>
      </w:r>
    </w:p>
  </w:endnote>
  <w:endnote w:type="continuationSeparator" w:id="0">
    <w:p w14:paraId="3AB0D616" w14:textId="77777777" w:rsidR="008652A3" w:rsidRDefault="008652A3" w:rsidP="009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5205"/>
      <w:docPartObj>
        <w:docPartGallery w:val="Page Numbers (Bottom of Page)"/>
        <w:docPartUnique/>
      </w:docPartObj>
    </w:sdtPr>
    <w:sdtEndPr/>
    <w:sdtContent>
      <w:p w14:paraId="67FD98B1" w14:textId="4D43A5A9" w:rsidR="00141F89" w:rsidRDefault="00141F89">
        <w:pPr>
          <w:pStyle w:val="Pta"/>
          <w:jc w:val="center"/>
        </w:pPr>
        <w:r>
          <w:fldChar w:fldCharType="begin"/>
        </w:r>
        <w:r>
          <w:instrText>PAGE   \* MERGEFORMAT</w:instrText>
        </w:r>
        <w:r>
          <w:fldChar w:fldCharType="separate"/>
        </w:r>
        <w:r w:rsidR="005C7EAD">
          <w:t>2</w:t>
        </w:r>
        <w:r>
          <w:fldChar w:fldCharType="end"/>
        </w:r>
      </w:p>
    </w:sdtContent>
  </w:sdt>
  <w:p w14:paraId="7C38677C" w14:textId="77777777" w:rsidR="00141F89" w:rsidRDefault="00141F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F4AC" w14:textId="77777777" w:rsidR="008652A3" w:rsidRDefault="008652A3" w:rsidP="00914852">
      <w:pPr>
        <w:spacing w:after="0" w:line="240" w:lineRule="auto"/>
      </w:pPr>
      <w:r>
        <w:separator/>
      </w:r>
    </w:p>
  </w:footnote>
  <w:footnote w:type="continuationSeparator" w:id="0">
    <w:p w14:paraId="5129732E" w14:textId="77777777" w:rsidR="008652A3" w:rsidRDefault="008652A3" w:rsidP="009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83"/>
    <w:multiLevelType w:val="hybridMultilevel"/>
    <w:tmpl w:val="BB1C967E"/>
    <w:lvl w:ilvl="0" w:tplc="041B001B">
      <w:start w:val="1"/>
      <w:numFmt w:val="lowerRoman"/>
      <w:lvlText w:val="%1."/>
      <w:lvlJc w:val="right"/>
      <w:pPr>
        <w:ind w:left="1474" w:hanging="360"/>
      </w:pPr>
    </w:lvl>
    <w:lvl w:ilvl="1" w:tplc="041B0019" w:tentative="1">
      <w:start w:val="1"/>
      <w:numFmt w:val="lowerLetter"/>
      <w:lvlText w:val="%2."/>
      <w:lvlJc w:val="left"/>
      <w:pPr>
        <w:ind w:left="2194" w:hanging="360"/>
      </w:pPr>
    </w:lvl>
    <w:lvl w:ilvl="2" w:tplc="041B001B" w:tentative="1">
      <w:start w:val="1"/>
      <w:numFmt w:val="lowerRoman"/>
      <w:lvlText w:val="%3."/>
      <w:lvlJc w:val="right"/>
      <w:pPr>
        <w:ind w:left="2914" w:hanging="180"/>
      </w:pPr>
    </w:lvl>
    <w:lvl w:ilvl="3" w:tplc="041B000F" w:tentative="1">
      <w:start w:val="1"/>
      <w:numFmt w:val="decimal"/>
      <w:lvlText w:val="%4."/>
      <w:lvlJc w:val="left"/>
      <w:pPr>
        <w:ind w:left="3634" w:hanging="360"/>
      </w:pPr>
    </w:lvl>
    <w:lvl w:ilvl="4" w:tplc="041B0019" w:tentative="1">
      <w:start w:val="1"/>
      <w:numFmt w:val="lowerLetter"/>
      <w:lvlText w:val="%5."/>
      <w:lvlJc w:val="left"/>
      <w:pPr>
        <w:ind w:left="4354" w:hanging="360"/>
      </w:pPr>
    </w:lvl>
    <w:lvl w:ilvl="5" w:tplc="041B001B" w:tentative="1">
      <w:start w:val="1"/>
      <w:numFmt w:val="lowerRoman"/>
      <w:lvlText w:val="%6."/>
      <w:lvlJc w:val="right"/>
      <w:pPr>
        <w:ind w:left="5074" w:hanging="180"/>
      </w:pPr>
    </w:lvl>
    <w:lvl w:ilvl="6" w:tplc="041B000F" w:tentative="1">
      <w:start w:val="1"/>
      <w:numFmt w:val="decimal"/>
      <w:lvlText w:val="%7."/>
      <w:lvlJc w:val="left"/>
      <w:pPr>
        <w:ind w:left="5794" w:hanging="360"/>
      </w:pPr>
    </w:lvl>
    <w:lvl w:ilvl="7" w:tplc="041B0019" w:tentative="1">
      <w:start w:val="1"/>
      <w:numFmt w:val="lowerLetter"/>
      <w:lvlText w:val="%8."/>
      <w:lvlJc w:val="left"/>
      <w:pPr>
        <w:ind w:left="6514" w:hanging="360"/>
      </w:pPr>
    </w:lvl>
    <w:lvl w:ilvl="8" w:tplc="041B001B" w:tentative="1">
      <w:start w:val="1"/>
      <w:numFmt w:val="lowerRoman"/>
      <w:lvlText w:val="%9."/>
      <w:lvlJc w:val="right"/>
      <w:pPr>
        <w:ind w:left="7234" w:hanging="180"/>
      </w:pPr>
    </w:lvl>
  </w:abstractNum>
  <w:abstractNum w:abstractNumId="1" w15:restartNumberingAfterBreak="0">
    <w:nsid w:val="1C774077"/>
    <w:multiLevelType w:val="hybridMultilevel"/>
    <w:tmpl w:val="8DC09A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7C40F66"/>
    <w:multiLevelType w:val="hybridMultilevel"/>
    <w:tmpl w:val="065E9BC6"/>
    <w:lvl w:ilvl="0" w:tplc="C888C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BD8"/>
    <w:multiLevelType w:val="hybridMultilevel"/>
    <w:tmpl w:val="744E5B9C"/>
    <w:lvl w:ilvl="0" w:tplc="391443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BF1"/>
    <w:multiLevelType w:val="hybridMultilevel"/>
    <w:tmpl w:val="87729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3AB1"/>
    <w:multiLevelType w:val="hybridMultilevel"/>
    <w:tmpl w:val="26EE0020"/>
    <w:lvl w:ilvl="0" w:tplc="377E58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C02"/>
    <w:multiLevelType w:val="hybridMultilevel"/>
    <w:tmpl w:val="D682DD42"/>
    <w:lvl w:ilvl="0" w:tplc="9EF822E4">
      <w:start w:val="1"/>
      <w:numFmt w:val="upp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7" w15:restartNumberingAfterBreak="0">
    <w:nsid w:val="4F070CC0"/>
    <w:multiLevelType w:val="hybridMultilevel"/>
    <w:tmpl w:val="72B64612"/>
    <w:lvl w:ilvl="0" w:tplc="BA8E82DA">
      <w:start w:val="1"/>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532D3D95"/>
    <w:multiLevelType w:val="hybridMultilevel"/>
    <w:tmpl w:val="2FB6EA0A"/>
    <w:lvl w:ilvl="0" w:tplc="041B0015">
      <w:start w:val="1"/>
      <w:numFmt w:val="upperLetter"/>
      <w:lvlText w:val="%1."/>
      <w:lvlJc w:val="left"/>
      <w:pPr>
        <w:ind w:left="394" w:hanging="360"/>
      </w:pPr>
      <w:rPr>
        <w:rFonts w:hint="default"/>
      </w:rPr>
    </w:lvl>
    <w:lvl w:ilvl="1" w:tplc="041B0019">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9" w15:restartNumberingAfterBreak="0">
    <w:nsid w:val="6DC90BB5"/>
    <w:multiLevelType w:val="hybridMultilevel"/>
    <w:tmpl w:val="F472634C"/>
    <w:lvl w:ilvl="0" w:tplc="1358988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3"/>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38"/>
    <w:rsid w:val="00043E2B"/>
    <w:rsid w:val="00047F01"/>
    <w:rsid w:val="0005286D"/>
    <w:rsid w:val="0005630B"/>
    <w:rsid w:val="0006401E"/>
    <w:rsid w:val="000C47D8"/>
    <w:rsid w:val="0012444C"/>
    <w:rsid w:val="00141F89"/>
    <w:rsid w:val="0014657B"/>
    <w:rsid w:val="00146FEF"/>
    <w:rsid w:val="001576C6"/>
    <w:rsid w:val="00171F01"/>
    <w:rsid w:val="001740FF"/>
    <w:rsid w:val="00182B18"/>
    <w:rsid w:val="001A1F44"/>
    <w:rsid w:val="001D4875"/>
    <w:rsid w:val="001E63B4"/>
    <w:rsid w:val="002152CC"/>
    <w:rsid w:val="00252C84"/>
    <w:rsid w:val="00271715"/>
    <w:rsid w:val="002B2CC6"/>
    <w:rsid w:val="002F3905"/>
    <w:rsid w:val="003028A8"/>
    <w:rsid w:val="003838F5"/>
    <w:rsid w:val="003852D7"/>
    <w:rsid w:val="00392766"/>
    <w:rsid w:val="003D1468"/>
    <w:rsid w:val="003D4A40"/>
    <w:rsid w:val="003F24C7"/>
    <w:rsid w:val="00413455"/>
    <w:rsid w:val="004603AD"/>
    <w:rsid w:val="00460EE4"/>
    <w:rsid w:val="00471D67"/>
    <w:rsid w:val="004875CC"/>
    <w:rsid w:val="004D0BD0"/>
    <w:rsid w:val="004E3435"/>
    <w:rsid w:val="004F13D2"/>
    <w:rsid w:val="00533D58"/>
    <w:rsid w:val="005C7EAD"/>
    <w:rsid w:val="005E47AB"/>
    <w:rsid w:val="006036B6"/>
    <w:rsid w:val="006466CF"/>
    <w:rsid w:val="006668B1"/>
    <w:rsid w:val="00667574"/>
    <w:rsid w:val="006708EC"/>
    <w:rsid w:val="006A0B37"/>
    <w:rsid w:val="006D67D7"/>
    <w:rsid w:val="00707A3C"/>
    <w:rsid w:val="00714572"/>
    <w:rsid w:val="00757DDE"/>
    <w:rsid w:val="00771876"/>
    <w:rsid w:val="007C42C0"/>
    <w:rsid w:val="007E1443"/>
    <w:rsid w:val="00800D32"/>
    <w:rsid w:val="008222CB"/>
    <w:rsid w:val="00823138"/>
    <w:rsid w:val="0082337B"/>
    <w:rsid w:val="008652A3"/>
    <w:rsid w:val="00895869"/>
    <w:rsid w:val="008D041A"/>
    <w:rsid w:val="008E31E5"/>
    <w:rsid w:val="009001A0"/>
    <w:rsid w:val="00910704"/>
    <w:rsid w:val="00914852"/>
    <w:rsid w:val="009279F2"/>
    <w:rsid w:val="009471D1"/>
    <w:rsid w:val="00956449"/>
    <w:rsid w:val="00970B4F"/>
    <w:rsid w:val="009C7CEE"/>
    <w:rsid w:val="009E1BCB"/>
    <w:rsid w:val="009F7DA1"/>
    <w:rsid w:val="00A02133"/>
    <w:rsid w:val="00A42F1D"/>
    <w:rsid w:val="00A44267"/>
    <w:rsid w:val="00A54EA7"/>
    <w:rsid w:val="00A763FE"/>
    <w:rsid w:val="00A94192"/>
    <w:rsid w:val="00AB7550"/>
    <w:rsid w:val="00AD5960"/>
    <w:rsid w:val="00AE6ACA"/>
    <w:rsid w:val="00B10090"/>
    <w:rsid w:val="00B148AB"/>
    <w:rsid w:val="00B17C52"/>
    <w:rsid w:val="00B45901"/>
    <w:rsid w:val="00B77FA2"/>
    <w:rsid w:val="00B9747E"/>
    <w:rsid w:val="00BC20A9"/>
    <w:rsid w:val="00BD5A64"/>
    <w:rsid w:val="00BE1E3C"/>
    <w:rsid w:val="00BE2B29"/>
    <w:rsid w:val="00BE755A"/>
    <w:rsid w:val="00C348E7"/>
    <w:rsid w:val="00C400A7"/>
    <w:rsid w:val="00C4386E"/>
    <w:rsid w:val="00C60AF9"/>
    <w:rsid w:val="00CE2763"/>
    <w:rsid w:val="00CE7A7C"/>
    <w:rsid w:val="00CF2D6B"/>
    <w:rsid w:val="00D27F1C"/>
    <w:rsid w:val="00D31D5A"/>
    <w:rsid w:val="00D42BE6"/>
    <w:rsid w:val="00D51492"/>
    <w:rsid w:val="00D617A6"/>
    <w:rsid w:val="00D618CD"/>
    <w:rsid w:val="00D61B92"/>
    <w:rsid w:val="00D9289A"/>
    <w:rsid w:val="00D93866"/>
    <w:rsid w:val="00DB1C2E"/>
    <w:rsid w:val="00DE7C6E"/>
    <w:rsid w:val="00E01904"/>
    <w:rsid w:val="00E27098"/>
    <w:rsid w:val="00E43799"/>
    <w:rsid w:val="00E560E2"/>
    <w:rsid w:val="00EA09F2"/>
    <w:rsid w:val="00EB5DA8"/>
    <w:rsid w:val="00EB78B1"/>
    <w:rsid w:val="00ED295C"/>
    <w:rsid w:val="00EF62E2"/>
    <w:rsid w:val="00F66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BC7E"/>
  <w15:chartTrackingRefBased/>
  <w15:docId w15:val="{6F6A0393-646E-4243-9765-ABB11F0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7A6"/>
    <w:rPr>
      <w:color w:val="0563C1"/>
      <w:u w:val="single"/>
    </w:rPr>
  </w:style>
  <w:style w:type="paragraph" w:customStyle="1" w:styleId="wordsection1">
    <w:name w:val="wordsection1"/>
    <w:basedOn w:val="Normlny"/>
    <w:uiPriority w:val="99"/>
    <w:rsid w:val="00D617A6"/>
    <w:pPr>
      <w:spacing w:after="0" w:line="240" w:lineRule="auto"/>
    </w:pPr>
    <w:rPr>
      <w:rFonts w:ascii="Times New Roman" w:hAnsi="Times New Roman" w:cs="Times New Roman"/>
      <w:sz w:val="24"/>
      <w:szCs w:val="24"/>
      <w:lang w:val="en-US"/>
    </w:rPr>
  </w:style>
  <w:style w:type="paragraph" w:styleId="Textbubliny">
    <w:name w:val="Balloon Text"/>
    <w:basedOn w:val="Normlny"/>
    <w:link w:val="TextbublinyChar"/>
    <w:uiPriority w:val="99"/>
    <w:semiHidden/>
    <w:unhideWhenUsed/>
    <w:rsid w:val="00BE1E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1E3C"/>
    <w:rPr>
      <w:rFonts w:ascii="Segoe UI" w:hAnsi="Segoe UI" w:cs="Segoe UI"/>
      <w:noProof/>
      <w:sz w:val="18"/>
      <w:szCs w:val="18"/>
    </w:rPr>
  </w:style>
  <w:style w:type="character" w:styleId="Odkaznakomentr">
    <w:name w:val="annotation reference"/>
    <w:basedOn w:val="Predvolenpsmoodseku"/>
    <w:uiPriority w:val="99"/>
    <w:semiHidden/>
    <w:unhideWhenUsed/>
    <w:rsid w:val="00BE1E3C"/>
    <w:rPr>
      <w:sz w:val="16"/>
      <w:szCs w:val="16"/>
    </w:rPr>
  </w:style>
  <w:style w:type="paragraph" w:styleId="Textkomentra">
    <w:name w:val="annotation text"/>
    <w:basedOn w:val="Normlny"/>
    <w:link w:val="TextkomentraChar"/>
    <w:uiPriority w:val="99"/>
    <w:unhideWhenUsed/>
    <w:rsid w:val="00BE1E3C"/>
    <w:pPr>
      <w:spacing w:line="240" w:lineRule="auto"/>
    </w:pPr>
    <w:rPr>
      <w:sz w:val="20"/>
      <w:szCs w:val="20"/>
    </w:rPr>
  </w:style>
  <w:style w:type="character" w:customStyle="1" w:styleId="TextkomentraChar">
    <w:name w:val="Text komentára Char"/>
    <w:basedOn w:val="Predvolenpsmoodseku"/>
    <w:link w:val="Textkomentra"/>
    <w:uiPriority w:val="99"/>
    <w:rsid w:val="00BE1E3C"/>
    <w:rPr>
      <w:noProof/>
      <w:sz w:val="20"/>
      <w:szCs w:val="20"/>
    </w:rPr>
  </w:style>
  <w:style w:type="paragraph" w:styleId="Predmetkomentra">
    <w:name w:val="annotation subject"/>
    <w:basedOn w:val="Textkomentra"/>
    <w:next w:val="Textkomentra"/>
    <w:link w:val="PredmetkomentraChar"/>
    <w:uiPriority w:val="99"/>
    <w:semiHidden/>
    <w:unhideWhenUsed/>
    <w:rsid w:val="00BE1E3C"/>
    <w:rPr>
      <w:b/>
      <w:bCs/>
    </w:rPr>
  </w:style>
  <w:style w:type="character" w:customStyle="1" w:styleId="PredmetkomentraChar">
    <w:name w:val="Predmet komentára Char"/>
    <w:basedOn w:val="TextkomentraChar"/>
    <w:link w:val="Predmetkomentra"/>
    <w:uiPriority w:val="99"/>
    <w:semiHidden/>
    <w:rsid w:val="00BE1E3C"/>
    <w:rPr>
      <w:b/>
      <w:bCs/>
      <w:noProof/>
      <w:sz w:val="20"/>
      <w:szCs w:val="20"/>
    </w:rPr>
  </w:style>
  <w:style w:type="character" w:customStyle="1" w:styleId="OdsekzoznamuChar">
    <w:name w:val="Odsek zoznamu Char"/>
    <w:aliases w:val="body Char,Odsek zoznamu2 Char,Odsek zoznamu1 Char,Listenabsatz Char,List Paragraph Char,Odsek Char,Lettre d'introduction Char,Paragrafo elenco Char,1st level - Bullet List Paragraph Char,Odražka 1 Char,Odsek zoznamu21 Char,Dot pt Char"/>
    <w:link w:val="Odsekzoznamu"/>
    <w:uiPriority w:val="99"/>
    <w:qFormat/>
    <w:locked/>
    <w:rsid w:val="00A02133"/>
    <w:rPr>
      <w:rFonts w:ascii="Calibri" w:hAnsi="Calibri" w:cs="Calibri"/>
    </w:rPr>
  </w:style>
  <w:style w:type="paragraph" w:styleId="Odsekzoznamu">
    <w:name w:val="List Paragraph"/>
    <w:aliases w:val="body,Odsek zoznamu2,Odsek zoznamu1,Listenabsatz,List Paragraph,Odsek,Lettre d'introduction,Paragrafo elenco,1st level - Bullet List Paragraph,Odražka 1,Odsek zoznamu21,List Paragraph1,Colorful List - Accent 11,Dot pt,F5 List Paragraph"/>
    <w:basedOn w:val="Normlny"/>
    <w:link w:val="OdsekzoznamuChar"/>
    <w:uiPriority w:val="99"/>
    <w:qFormat/>
    <w:rsid w:val="00A02133"/>
    <w:pPr>
      <w:spacing w:after="0" w:line="240" w:lineRule="auto"/>
      <w:ind w:left="720"/>
      <w:contextualSpacing/>
    </w:pPr>
    <w:rPr>
      <w:rFonts w:ascii="Calibri" w:hAnsi="Calibri" w:cs="Calibri"/>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qFormat/>
    <w:rsid w:val="00914852"/>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qFormat/>
    <w:rsid w:val="00914852"/>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qFormat/>
    <w:rsid w:val="00914852"/>
    <w:rPr>
      <w:vertAlign w:val="superscript"/>
    </w:rPr>
  </w:style>
  <w:style w:type="paragraph" w:customStyle="1" w:styleId="Char2">
    <w:name w:val="Char2"/>
    <w:basedOn w:val="Normlny"/>
    <w:link w:val="Odkaznapoznmkupodiarou"/>
    <w:uiPriority w:val="99"/>
    <w:qFormat/>
    <w:rsid w:val="00914852"/>
    <w:pPr>
      <w:spacing w:line="240" w:lineRule="exact"/>
    </w:pPr>
    <w:rPr>
      <w:vertAlign w:val="superscript"/>
    </w:rPr>
  </w:style>
  <w:style w:type="paragraph" w:styleId="Hlavika">
    <w:name w:val="header"/>
    <w:basedOn w:val="Normlny"/>
    <w:link w:val="HlavikaChar"/>
    <w:uiPriority w:val="99"/>
    <w:unhideWhenUsed/>
    <w:rsid w:val="00141F89"/>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141F89"/>
  </w:style>
  <w:style w:type="paragraph" w:styleId="Pta">
    <w:name w:val="footer"/>
    <w:basedOn w:val="Normlny"/>
    <w:link w:val="PtaChar"/>
    <w:uiPriority w:val="99"/>
    <w:unhideWhenUsed/>
    <w:rsid w:val="00141F89"/>
    <w:pPr>
      <w:tabs>
        <w:tab w:val="center" w:pos="4703"/>
        <w:tab w:val="right" w:pos="9406"/>
      </w:tabs>
      <w:spacing w:after="0" w:line="240" w:lineRule="auto"/>
    </w:pPr>
  </w:style>
  <w:style w:type="character" w:customStyle="1" w:styleId="PtaChar">
    <w:name w:val="Päta Char"/>
    <w:basedOn w:val="Predvolenpsmoodseku"/>
    <w:link w:val="Pta"/>
    <w:uiPriority w:val="99"/>
    <w:rsid w:val="0014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217">
      <w:bodyDiv w:val="1"/>
      <w:marLeft w:val="0"/>
      <w:marRight w:val="0"/>
      <w:marTop w:val="0"/>
      <w:marBottom w:val="0"/>
      <w:divBdr>
        <w:top w:val="none" w:sz="0" w:space="0" w:color="auto"/>
        <w:left w:val="none" w:sz="0" w:space="0" w:color="auto"/>
        <w:bottom w:val="none" w:sz="0" w:space="0" w:color="auto"/>
        <w:right w:val="none" w:sz="0" w:space="0" w:color="auto"/>
      </w:divBdr>
    </w:div>
    <w:div w:id="720372795">
      <w:bodyDiv w:val="1"/>
      <w:marLeft w:val="0"/>
      <w:marRight w:val="0"/>
      <w:marTop w:val="0"/>
      <w:marBottom w:val="0"/>
      <w:divBdr>
        <w:top w:val="none" w:sz="0" w:space="0" w:color="auto"/>
        <w:left w:val="none" w:sz="0" w:space="0" w:color="auto"/>
        <w:bottom w:val="none" w:sz="0" w:space="0" w:color="auto"/>
        <w:right w:val="none" w:sz="0" w:space="0" w:color="auto"/>
      </w:divBdr>
    </w:div>
    <w:div w:id="959070507">
      <w:bodyDiv w:val="1"/>
      <w:marLeft w:val="0"/>
      <w:marRight w:val="0"/>
      <w:marTop w:val="0"/>
      <w:marBottom w:val="0"/>
      <w:divBdr>
        <w:top w:val="none" w:sz="0" w:space="0" w:color="auto"/>
        <w:left w:val="none" w:sz="0" w:space="0" w:color="auto"/>
        <w:bottom w:val="none" w:sz="0" w:space="0" w:color="auto"/>
        <w:right w:val="none" w:sz="0" w:space="0" w:color="auto"/>
      </w:divBdr>
    </w:div>
    <w:div w:id="1203397950">
      <w:bodyDiv w:val="1"/>
      <w:marLeft w:val="0"/>
      <w:marRight w:val="0"/>
      <w:marTop w:val="0"/>
      <w:marBottom w:val="0"/>
      <w:divBdr>
        <w:top w:val="none" w:sz="0" w:space="0" w:color="auto"/>
        <w:left w:val="none" w:sz="0" w:space="0" w:color="auto"/>
        <w:bottom w:val="none" w:sz="0" w:space="0" w:color="auto"/>
        <w:right w:val="none" w:sz="0" w:space="0" w:color="auto"/>
      </w:divBdr>
    </w:div>
    <w:div w:id="1304892739">
      <w:bodyDiv w:val="1"/>
      <w:marLeft w:val="0"/>
      <w:marRight w:val="0"/>
      <w:marTop w:val="0"/>
      <w:marBottom w:val="0"/>
      <w:divBdr>
        <w:top w:val="none" w:sz="0" w:space="0" w:color="auto"/>
        <w:left w:val="none" w:sz="0" w:space="0" w:color="auto"/>
        <w:bottom w:val="none" w:sz="0" w:space="0" w:color="auto"/>
        <w:right w:val="none" w:sz="0" w:space="0" w:color="auto"/>
      </w:divBdr>
    </w:div>
    <w:div w:id="1916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3171-3D70-4025-AF38-0E5D5A2F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1037</Words>
  <Characters>5911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Miroslava</dc:creator>
  <cp:keywords/>
  <dc:description/>
  <cp:lastModifiedBy>Hrušková Miroslava</cp:lastModifiedBy>
  <cp:revision>10</cp:revision>
  <cp:lastPrinted>2023-07-04T08:28:00Z</cp:lastPrinted>
  <dcterms:created xsi:type="dcterms:W3CDTF">2023-07-12T07:05:00Z</dcterms:created>
  <dcterms:modified xsi:type="dcterms:W3CDTF">2023-07-12T09:59:00Z</dcterms:modified>
</cp:coreProperties>
</file>