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2852C" w14:textId="77777777" w:rsidR="00D72A32" w:rsidRPr="001F4E39" w:rsidRDefault="00D72A32" w:rsidP="00D72A32">
      <w:pPr>
        <w:pStyle w:val="wordsection1"/>
        <w:spacing w:after="120"/>
        <w:ind w:right="-284"/>
        <w:jc w:val="center"/>
        <w:rPr>
          <w:bCs/>
          <w:color w:val="000000"/>
          <w:lang w:val="sk-SK"/>
        </w:rPr>
      </w:pPr>
      <w:r w:rsidRPr="001F4E39">
        <w:rPr>
          <w:bCs/>
          <w:color w:val="000000"/>
          <w:lang w:val="sk-SK"/>
        </w:rPr>
        <w:t>PRE INFORMÁCIU</w:t>
      </w:r>
    </w:p>
    <w:p w14:paraId="490BAF91" w14:textId="77777777" w:rsidR="00D72A32" w:rsidRPr="001F4E39" w:rsidRDefault="00D72A32" w:rsidP="00D72A32">
      <w:pPr>
        <w:pStyle w:val="wordsection1"/>
        <w:spacing w:after="120"/>
        <w:ind w:right="-284"/>
        <w:jc w:val="both"/>
        <w:rPr>
          <w:b/>
          <w:bCs/>
          <w:color w:val="000000"/>
          <w:lang w:val="sk-SK"/>
        </w:rPr>
      </w:pPr>
      <w:r w:rsidRPr="001F4E39">
        <w:rPr>
          <w:b/>
          <w:bCs/>
          <w:color w:val="000000"/>
          <w:lang w:val="sk-SK"/>
        </w:rPr>
        <w:t>Odpoveď na pripomienky Európskej komisie predložené a prerokované na Komisii pri Monitorovacom výbore pre Program Slovensko 2021-2027 pre cieľ 2 politiky súdržnosti EÚ</w:t>
      </w:r>
    </w:p>
    <w:p w14:paraId="64E7F52A" w14:textId="77777777" w:rsidR="00D72A32" w:rsidRPr="001F4E39" w:rsidRDefault="00FE305D" w:rsidP="00D72A32">
      <w:pPr>
        <w:spacing w:after="120" w:line="240" w:lineRule="auto"/>
        <w:ind w:right="-284"/>
        <w:jc w:val="both"/>
        <w:rPr>
          <w:rFonts w:ascii="Times New Roman" w:eastAsia="Calibri" w:hAnsi="Times New Roman" w:cs="Times New Roman"/>
          <w:b/>
          <w:bCs/>
          <w:i/>
          <w:color w:val="000000"/>
          <w:sz w:val="24"/>
          <w:szCs w:val="24"/>
        </w:rPr>
      </w:pPr>
      <w:r w:rsidRPr="001F4E39">
        <w:rPr>
          <w:rFonts w:ascii="Times New Roman" w:eastAsia="Calibri" w:hAnsi="Times New Roman" w:cs="Times New Roman"/>
          <w:bCs/>
          <w:color w:val="000000"/>
          <w:sz w:val="24"/>
          <w:szCs w:val="24"/>
        </w:rPr>
        <w:t xml:space="preserve">k návrhu </w:t>
      </w:r>
      <w:r w:rsidRPr="001F4E39">
        <w:rPr>
          <w:rFonts w:ascii="Times New Roman" w:eastAsia="Calibri" w:hAnsi="Times New Roman" w:cs="Times New Roman"/>
          <w:b/>
          <w:bCs/>
          <w:i/>
          <w:color w:val="000000"/>
          <w:sz w:val="24"/>
          <w:szCs w:val="24"/>
        </w:rPr>
        <w:t>Hodnotiacich a výberových kritérií projektov</w:t>
      </w:r>
      <w:r w:rsidRPr="001F4E39">
        <w:rPr>
          <w:rFonts w:ascii="Times New Roman" w:eastAsia="Calibri" w:hAnsi="Times New Roman" w:cs="Times New Roman"/>
          <w:bCs/>
          <w:i/>
          <w:color w:val="000000"/>
          <w:sz w:val="24"/>
          <w:szCs w:val="24"/>
        </w:rPr>
        <w:t xml:space="preserve"> </w:t>
      </w:r>
      <w:r w:rsidRPr="001F4E39">
        <w:rPr>
          <w:rFonts w:ascii="Times New Roman" w:eastAsia="Calibri" w:hAnsi="Times New Roman" w:cs="Times New Roman"/>
          <w:bCs/>
          <w:color w:val="000000"/>
          <w:sz w:val="24"/>
          <w:szCs w:val="24"/>
        </w:rPr>
        <w:t xml:space="preserve">pre </w:t>
      </w:r>
      <w:r w:rsidRPr="001F4E39">
        <w:rPr>
          <w:rFonts w:ascii="Times New Roman" w:hAnsi="Times New Roman" w:cs="Times New Roman"/>
          <w:b/>
          <w:bCs/>
          <w:i/>
          <w:color w:val="000000"/>
          <w:sz w:val="24"/>
          <w:szCs w:val="24"/>
        </w:rPr>
        <w:t>opatrenie 2.5.2 Podpora infraštruktúry v oblasti nakladania s</w:t>
      </w:r>
      <w:r w:rsidR="00297F89" w:rsidRPr="001F4E39">
        <w:rPr>
          <w:rFonts w:ascii="Times New Roman" w:hAnsi="Times New Roman" w:cs="Times New Roman"/>
          <w:b/>
          <w:bCs/>
          <w:i/>
          <w:color w:val="000000"/>
          <w:sz w:val="24"/>
          <w:szCs w:val="24"/>
        </w:rPr>
        <w:t> </w:t>
      </w:r>
      <w:r w:rsidRPr="001F4E39">
        <w:rPr>
          <w:rFonts w:ascii="Times New Roman" w:hAnsi="Times New Roman" w:cs="Times New Roman"/>
          <w:b/>
          <w:bCs/>
          <w:i/>
          <w:color w:val="000000"/>
          <w:sz w:val="24"/>
          <w:szCs w:val="24"/>
        </w:rPr>
        <w:t>komunálnymi</w:t>
      </w:r>
      <w:r w:rsidR="00297F89" w:rsidRPr="001F4E39">
        <w:rPr>
          <w:rFonts w:ascii="Times New Roman" w:hAnsi="Times New Roman" w:cs="Times New Roman"/>
          <w:b/>
          <w:bCs/>
          <w:i/>
          <w:color w:val="000000"/>
          <w:sz w:val="24"/>
          <w:szCs w:val="24"/>
        </w:rPr>
        <w:t xml:space="preserve"> </w:t>
      </w:r>
      <w:r w:rsidRPr="001F4E39">
        <w:rPr>
          <w:rFonts w:ascii="Times New Roman" w:hAnsi="Times New Roman" w:cs="Times New Roman"/>
          <w:b/>
          <w:bCs/>
          <w:i/>
          <w:color w:val="000000"/>
          <w:sz w:val="24"/>
          <w:szCs w:val="24"/>
        </w:rPr>
        <w:t>odpadovými vodami v aglomeráciách do 2000 EO so zameraním najmä na územia prioritné z environmentálneho hľadiska mimo dobiehajúcich regiónov</w:t>
      </w:r>
      <w:r w:rsidRPr="001F4E39">
        <w:rPr>
          <w:rFonts w:ascii="Times New Roman" w:eastAsia="Calibri" w:hAnsi="Times New Roman" w:cs="Times New Roman"/>
          <w:b/>
          <w:bCs/>
          <w:i/>
          <w:color w:val="000000"/>
          <w:sz w:val="24"/>
          <w:szCs w:val="24"/>
        </w:rPr>
        <w:t xml:space="preserve"> </w:t>
      </w:r>
    </w:p>
    <w:p w14:paraId="1FB8A7B6" w14:textId="55026928" w:rsidR="00FE305D" w:rsidRPr="001F4E39" w:rsidRDefault="00FE305D" w:rsidP="00D72A32">
      <w:pPr>
        <w:spacing w:after="0" w:line="240" w:lineRule="auto"/>
        <w:ind w:right="-284"/>
        <w:jc w:val="both"/>
        <w:rPr>
          <w:rFonts w:ascii="Times New Roman" w:eastAsia="Calibri" w:hAnsi="Times New Roman" w:cs="Times New Roman"/>
          <w:b/>
          <w:bCs/>
          <w:i/>
          <w:color w:val="000000"/>
          <w:sz w:val="24"/>
          <w:szCs w:val="24"/>
        </w:rPr>
      </w:pPr>
    </w:p>
    <w:p w14:paraId="40FF48C2" w14:textId="04966E2C" w:rsidR="00CE2763" w:rsidRPr="001F4E39" w:rsidRDefault="00D72A32" w:rsidP="00D72A32">
      <w:pPr>
        <w:pStyle w:val="wordsection1"/>
        <w:ind w:right="-284"/>
        <w:jc w:val="both"/>
        <w:rPr>
          <w:color w:val="000000"/>
          <w:lang w:val="sk-SK"/>
        </w:rPr>
      </w:pPr>
      <w:r w:rsidRPr="001F4E39">
        <w:rPr>
          <w:color w:val="000000"/>
          <w:lang w:val="sk-SK"/>
        </w:rPr>
        <w:t xml:space="preserve">Pripomienka EK: </w:t>
      </w:r>
    </w:p>
    <w:p w14:paraId="1C970196" w14:textId="77777777" w:rsidR="00D617A6" w:rsidRPr="001F4E39" w:rsidRDefault="00D617A6" w:rsidP="00D72A32">
      <w:pPr>
        <w:pStyle w:val="wordsection1"/>
        <w:ind w:right="-284"/>
        <w:jc w:val="both"/>
        <w:rPr>
          <w:rFonts w:ascii="Calibri" w:hAnsi="Calibri" w:cs="Calibri"/>
          <w:b/>
          <w:color w:val="000000"/>
          <w:sz w:val="22"/>
          <w:szCs w:val="22"/>
          <w:u w:val="single"/>
          <w:lang w:val="sk-SK"/>
        </w:rPr>
      </w:pPr>
      <w:r w:rsidRPr="001F4E39">
        <w:rPr>
          <w:b/>
          <w:color w:val="000000"/>
          <w:u w:val="single"/>
          <w:lang w:val="sk-SK"/>
        </w:rPr>
        <w:t>Measure 2.5.2 Urban wastewater management in agglomerations up to 2000 p.e.</w:t>
      </w:r>
    </w:p>
    <w:p w14:paraId="6824996D" w14:textId="77777777" w:rsidR="00D617A6" w:rsidRPr="001F4E39" w:rsidRDefault="00D617A6" w:rsidP="00D72A32">
      <w:pPr>
        <w:pStyle w:val="wordsection1"/>
        <w:ind w:right="-284"/>
        <w:jc w:val="both"/>
        <w:rPr>
          <w:rFonts w:ascii="Calibri" w:hAnsi="Calibri" w:cs="Calibri"/>
          <w:color w:val="000000"/>
          <w:sz w:val="22"/>
          <w:szCs w:val="22"/>
          <w:lang w:val="sk-SK"/>
        </w:rPr>
      </w:pPr>
      <w:r w:rsidRPr="001F4E39">
        <w:rPr>
          <w:color w:val="000000"/>
          <w:lang w:val="sk-SK"/>
        </w:rPr>
        <w:t xml:space="preserve">The presented criteria focus on achieving of “good ecological status” of water bodies which is in principle in line with PSK. However, it is not obvious whether it represents the most efficient activities to improve the status of different water bodies. It is also unclear, how the proposals will be scrutinised in terms of the Programme of measures in the valid river basin management. </w:t>
      </w:r>
    </w:p>
    <w:p w14:paraId="5F1EE4CE" w14:textId="77777777" w:rsidR="00BE2B29" w:rsidRPr="001F4E39" w:rsidRDefault="00D617A6" w:rsidP="00D72A32">
      <w:pPr>
        <w:pStyle w:val="wordsection1"/>
        <w:ind w:right="-284"/>
        <w:jc w:val="both"/>
        <w:rPr>
          <w:color w:val="000000"/>
          <w:lang w:val="sk-SK"/>
        </w:rPr>
      </w:pPr>
      <w:r w:rsidRPr="001F4E39">
        <w:rPr>
          <w:color w:val="000000"/>
          <w:lang w:val="sk-SK"/>
        </w:rPr>
        <w:t xml:space="preserve">On the other hand, we fully endorse coordination with the measure 2.5.4. on the conditions that proper selection for “access to water” measures are applied. </w:t>
      </w:r>
    </w:p>
    <w:p w14:paraId="23EC8728" w14:textId="49CC2C0A" w:rsidR="00252C84" w:rsidRPr="001F4E39" w:rsidRDefault="00252C84" w:rsidP="00D72A32">
      <w:pPr>
        <w:pStyle w:val="wordsection1"/>
        <w:ind w:right="-284"/>
        <w:jc w:val="both"/>
        <w:rPr>
          <w:color w:val="00B050"/>
          <w:lang w:val="sk-SK"/>
        </w:rPr>
      </w:pPr>
    </w:p>
    <w:p w14:paraId="49E35DEA" w14:textId="778C80C7" w:rsidR="00252C84" w:rsidRPr="001F4E39" w:rsidRDefault="00252C84" w:rsidP="00D72A32">
      <w:pPr>
        <w:pStyle w:val="wordsection1"/>
        <w:spacing w:after="120"/>
        <w:ind w:right="-284"/>
        <w:jc w:val="both"/>
        <w:rPr>
          <w:b/>
          <w:i/>
          <w:iCs/>
          <w:color w:val="2F5496" w:themeColor="accent5" w:themeShade="BF"/>
          <w:sz w:val="22"/>
          <w:szCs w:val="22"/>
          <w:lang w:val="sk-SK"/>
        </w:rPr>
      </w:pPr>
      <w:r w:rsidRPr="001F4E39">
        <w:rPr>
          <w:b/>
          <w:iCs/>
          <w:color w:val="2F5496" w:themeColor="accent5" w:themeShade="BF"/>
          <w:lang w:val="sk-SK"/>
        </w:rPr>
        <w:t xml:space="preserve">Reakcia </w:t>
      </w:r>
      <w:r w:rsidR="005E08E3" w:rsidRPr="001F4E39">
        <w:rPr>
          <w:b/>
          <w:iCs/>
          <w:color w:val="2F5496" w:themeColor="accent5" w:themeShade="BF"/>
          <w:lang w:val="sk-SK"/>
        </w:rPr>
        <w:t xml:space="preserve">sprostredkovateľského orgánu </w:t>
      </w:r>
      <w:r w:rsidRPr="001F4E39">
        <w:rPr>
          <w:b/>
          <w:iCs/>
          <w:color w:val="2F5496" w:themeColor="accent5" w:themeShade="BF"/>
          <w:lang w:val="sk-SK"/>
        </w:rPr>
        <w:t>MŽP SR:</w:t>
      </w:r>
    </w:p>
    <w:p w14:paraId="46DDAED2" w14:textId="26715721" w:rsidR="009F7DA1" w:rsidRPr="001F4E39" w:rsidRDefault="00252C84" w:rsidP="00D72A32">
      <w:pPr>
        <w:pStyle w:val="wordsection1"/>
        <w:spacing w:after="120"/>
        <w:ind w:right="-284"/>
        <w:jc w:val="both"/>
        <w:rPr>
          <w:color w:val="2F5496" w:themeColor="accent5" w:themeShade="BF"/>
          <w:lang w:val="sk-SK"/>
        </w:rPr>
      </w:pPr>
      <w:r w:rsidRPr="001F4E39">
        <w:rPr>
          <w:color w:val="2F5496" w:themeColor="accent5" w:themeShade="BF"/>
          <w:lang w:val="sk-SK"/>
        </w:rPr>
        <w:t xml:space="preserve">V prípade opatrenia </w:t>
      </w:r>
      <w:r w:rsidRPr="001F4E39">
        <w:rPr>
          <w:i/>
          <w:color w:val="2F5496" w:themeColor="accent5" w:themeShade="BF"/>
          <w:lang w:val="sk-SK"/>
        </w:rPr>
        <w:t>2.5.2</w:t>
      </w:r>
      <w:r w:rsidR="009F7DA1" w:rsidRPr="001F4E39">
        <w:rPr>
          <w:color w:val="2F5496" w:themeColor="accent5" w:themeShade="BF"/>
          <w:lang w:val="sk-SK"/>
        </w:rPr>
        <w:t xml:space="preserve"> </w:t>
      </w:r>
      <w:r w:rsidR="009F7DA1" w:rsidRPr="001F4E39">
        <w:rPr>
          <w:i/>
          <w:color w:val="2F5496" w:themeColor="accent5" w:themeShade="BF"/>
          <w:lang w:val="sk-SK"/>
        </w:rPr>
        <w:t xml:space="preserve">Podpora infraštruktúry v oblasti nakladania s komunálnymi odpadovými vodami v aglomeráciách do 2000 EO so zameraním najmä na územia prioritné z environmentálneho hľadiska mimo dobiehajúcich regiónov </w:t>
      </w:r>
      <w:r w:rsidRPr="001F4E39">
        <w:rPr>
          <w:i/>
          <w:color w:val="2F5496" w:themeColor="accent5" w:themeShade="BF"/>
          <w:lang w:val="sk-SK"/>
        </w:rPr>
        <w:t xml:space="preserve"> </w:t>
      </w:r>
      <w:r w:rsidR="009F7DA1" w:rsidRPr="001F4E39">
        <w:rPr>
          <w:color w:val="2F5496" w:themeColor="accent5" w:themeShade="BF"/>
          <w:lang w:val="sk-SK"/>
        </w:rPr>
        <w:t xml:space="preserve">bola v nadväznosti na pripomienku EK </w:t>
      </w:r>
      <w:r w:rsidRPr="001F4E39">
        <w:rPr>
          <w:color w:val="2F5496" w:themeColor="accent5" w:themeShade="BF"/>
          <w:lang w:val="sk-SK"/>
        </w:rPr>
        <w:t xml:space="preserve">v rámci kritéria </w:t>
      </w:r>
      <w:r w:rsidRPr="001F4E39">
        <w:rPr>
          <w:rFonts w:eastAsia="Times New Roman"/>
          <w:b/>
          <w:bCs/>
          <w:i/>
          <w:color w:val="2F5496" w:themeColor="accent5" w:themeShade="BF"/>
          <w:lang w:val="sk-SK" w:eastAsia="sk-SK"/>
        </w:rPr>
        <w:t xml:space="preserve">Súlad projektu s legislatívou a so strategickými a koncepčnými dokumentmi na úseku vodného hospodárstva </w:t>
      </w:r>
      <w:r w:rsidR="009F7DA1" w:rsidRPr="001F4E39">
        <w:rPr>
          <w:rFonts w:eastAsia="Times New Roman"/>
          <w:bCs/>
          <w:color w:val="2F5496" w:themeColor="accent5" w:themeShade="BF"/>
          <w:lang w:val="sk-SK" w:eastAsia="sk-SK"/>
        </w:rPr>
        <w:t xml:space="preserve">upravené znenie hodnotiacej otázky v písm. A), a to </w:t>
      </w:r>
      <w:r w:rsidR="00BE2B29" w:rsidRPr="001F4E39">
        <w:rPr>
          <w:color w:val="2F5496" w:themeColor="accent5" w:themeShade="BF"/>
          <w:lang w:val="sk-SK"/>
        </w:rPr>
        <w:t>vypustením druhej časti vety “a zároveň ide o stavebný projekt, ktorý je zameraný na zlepšenie stavu vôd“. Hodnotiaca otázka bude v znení: „Je projekt v súlade s doplnkovými opatreniami rámcovej smernice o</w:t>
      </w:r>
      <w:r w:rsidR="009F7DA1" w:rsidRPr="001F4E39">
        <w:rPr>
          <w:color w:val="2F5496" w:themeColor="accent5" w:themeShade="BF"/>
          <w:lang w:val="sk-SK"/>
        </w:rPr>
        <w:t> </w:t>
      </w:r>
      <w:r w:rsidR="00BE2B29" w:rsidRPr="001F4E39">
        <w:rPr>
          <w:color w:val="2F5496" w:themeColor="accent5" w:themeShade="BF"/>
          <w:lang w:val="sk-SK"/>
        </w:rPr>
        <w:t>vode</w:t>
      </w:r>
      <w:r w:rsidR="009F7DA1" w:rsidRPr="001F4E39">
        <w:rPr>
          <w:color w:val="2F5496" w:themeColor="accent5" w:themeShade="BF"/>
          <w:lang w:val="sk-SK"/>
        </w:rPr>
        <w:t xml:space="preserve">? </w:t>
      </w:r>
      <w:r w:rsidR="00BE2B29" w:rsidRPr="001F4E39">
        <w:rPr>
          <w:color w:val="2F5496" w:themeColor="accent5" w:themeShade="BF"/>
          <w:lang w:val="sk-SK"/>
        </w:rPr>
        <w:t xml:space="preserve">“. </w:t>
      </w:r>
      <w:r w:rsidR="009F7DA1" w:rsidRPr="001F4E39">
        <w:rPr>
          <w:color w:val="2F5496" w:themeColor="accent5" w:themeShade="BF"/>
          <w:lang w:val="sk-SK"/>
        </w:rPr>
        <w:t>Cieľom kritéria a príslušnej hodnotiacej otázky nie je priamo posudzovať zlepšenie stavu vôd v dôsledku realizácie projektu. V súlade s názvom/zameraním kritéria je cieľom hodnotiacej otázky potvrdiť prepojenie projektu</w:t>
      </w:r>
      <w:r w:rsidR="00E27098" w:rsidRPr="001F4E39">
        <w:rPr>
          <w:color w:val="2F5496" w:themeColor="accent5" w:themeShade="BF"/>
          <w:lang w:val="sk-SK"/>
        </w:rPr>
        <w:t xml:space="preserve"> (overiť súlad zamerania projektu) </w:t>
      </w:r>
      <w:r w:rsidR="009F7DA1" w:rsidRPr="001F4E39">
        <w:rPr>
          <w:color w:val="2F5496" w:themeColor="accent5" w:themeShade="BF"/>
          <w:lang w:val="sk-SK"/>
        </w:rPr>
        <w:t>s  doplnkovými opatreniami rámcovej smernice o</w:t>
      </w:r>
      <w:r w:rsidR="00E27098" w:rsidRPr="001F4E39">
        <w:rPr>
          <w:color w:val="2F5496" w:themeColor="accent5" w:themeShade="BF"/>
          <w:lang w:val="sk-SK"/>
        </w:rPr>
        <w:t> </w:t>
      </w:r>
      <w:r w:rsidR="009F7DA1" w:rsidRPr="001F4E39">
        <w:rPr>
          <w:color w:val="2F5496" w:themeColor="accent5" w:themeShade="BF"/>
          <w:lang w:val="sk-SK"/>
        </w:rPr>
        <w:t>vode.</w:t>
      </w:r>
    </w:p>
    <w:p w14:paraId="12662995" w14:textId="0489BEE2" w:rsidR="00BE2B29" w:rsidRPr="001F4E39" w:rsidRDefault="00BE2B29" w:rsidP="00D72A32">
      <w:pPr>
        <w:spacing w:after="0" w:line="240" w:lineRule="auto"/>
        <w:ind w:right="-284"/>
        <w:jc w:val="both"/>
        <w:rPr>
          <w:rFonts w:ascii="Times New Roman" w:hAnsi="Times New Roman" w:cs="Times New Roman"/>
          <w:i/>
          <w:color w:val="2F5496" w:themeColor="accent5" w:themeShade="BF"/>
          <w:sz w:val="24"/>
          <w:szCs w:val="24"/>
        </w:rPr>
      </w:pPr>
      <w:r w:rsidRPr="001F4E39">
        <w:rPr>
          <w:rFonts w:ascii="Times New Roman" w:hAnsi="Times New Roman" w:cs="Times New Roman"/>
          <w:color w:val="2F5496" w:themeColor="accent5" w:themeShade="BF"/>
          <w:sz w:val="24"/>
          <w:szCs w:val="24"/>
        </w:rPr>
        <w:t xml:space="preserve">V slovnom komentári ostáva pôvodná formulácia </w:t>
      </w:r>
      <w:r w:rsidRPr="001F4E39">
        <w:rPr>
          <w:rFonts w:ascii="Times New Roman" w:hAnsi="Times New Roman" w:cs="Times New Roman"/>
          <w:i/>
          <w:color w:val="2F5496" w:themeColor="accent5" w:themeShade="BF"/>
          <w:sz w:val="24"/>
          <w:szCs w:val="24"/>
        </w:rPr>
        <w:t>„Projekt je v súlade: - s cieľmi doplnkových  opatrení smernice 2000/60/ES Európskeho parlamentu a rady z 23. októbra 2000, ktorou sa ustanovuje rámec pôsobnosti pre opatrenia spoločenstva v oblasti vodného hospodárstva (rámcová smernica o vode) - ide o stavebný projekt, ktorý je zameraný na zlepšenie stavu vôd“.</w:t>
      </w:r>
      <w:r w:rsidR="00E27098" w:rsidRPr="001F4E39">
        <w:rPr>
          <w:rFonts w:ascii="Times New Roman" w:hAnsi="Times New Roman" w:cs="Times New Roman"/>
          <w:i/>
          <w:color w:val="2F5496" w:themeColor="accent5" w:themeShade="BF"/>
          <w:sz w:val="24"/>
          <w:szCs w:val="24"/>
        </w:rPr>
        <w:t xml:space="preserve"> </w:t>
      </w:r>
      <w:r w:rsidR="00E27098" w:rsidRPr="001F4E39">
        <w:rPr>
          <w:rFonts w:ascii="Times New Roman" w:hAnsi="Times New Roman" w:cs="Times New Roman"/>
          <w:color w:val="2F5496" w:themeColor="accent5" w:themeShade="BF"/>
          <w:sz w:val="24"/>
          <w:szCs w:val="24"/>
        </w:rPr>
        <w:t xml:space="preserve">Formulácia zostáva zachovaná z dôvodu, že jedným z doplnkových opatrení rámcovej smernice o vode je podpora </w:t>
      </w:r>
      <w:r w:rsidRPr="001F4E39">
        <w:rPr>
          <w:rFonts w:ascii="Times New Roman" w:hAnsi="Times New Roman" w:cs="Times New Roman"/>
          <w:i/>
          <w:color w:val="2F5496" w:themeColor="accent5" w:themeShade="BF"/>
          <w:sz w:val="24"/>
          <w:szCs w:val="24"/>
        </w:rPr>
        <w:t xml:space="preserve"> </w:t>
      </w:r>
      <w:r w:rsidR="00E27098" w:rsidRPr="001F4E39">
        <w:rPr>
          <w:rFonts w:ascii="Times New Roman" w:hAnsi="Times New Roman" w:cs="Times New Roman"/>
          <w:i/>
          <w:color w:val="2F5496" w:themeColor="accent5" w:themeShade="BF"/>
          <w:sz w:val="24"/>
          <w:szCs w:val="24"/>
        </w:rPr>
        <w:t>stavebných projektov, ktorý je zameraný na zlepšenie stavu vôd“.</w:t>
      </w:r>
    </w:p>
    <w:p w14:paraId="1EE72D8B" w14:textId="77777777" w:rsidR="00B17C52" w:rsidRPr="001F4E39" w:rsidRDefault="00B17C52" w:rsidP="00D72A32">
      <w:pPr>
        <w:pStyle w:val="wordsection1"/>
        <w:ind w:right="-284"/>
        <w:jc w:val="both"/>
        <w:rPr>
          <w:color w:val="000000"/>
          <w:lang w:val="sk-SK"/>
        </w:rPr>
      </w:pPr>
    </w:p>
    <w:p w14:paraId="25CAF85A" w14:textId="77777777" w:rsidR="00D617A6" w:rsidRPr="001F4E39" w:rsidRDefault="00D617A6" w:rsidP="00D72A32">
      <w:pPr>
        <w:pStyle w:val="wordsection1"/>
        <w:ind w:right="-284"/>
        <w:jc w:val="both"/>
        <w:rPr>
          <w:color w:val="000000"/>
          <w:lang w:val="sk-SK"/>
        </w:rPr>
      </w:pPr>
      <w:r w:rsidRPr="001F4E39">
        <w:rPr>
          <w:color w:val="000000"/>
          <w:lang w:val="sk-SK"/>
        </w:rPr>
        <w:t>It is not obvious whether the supported activities will include collection (sewerage) systems and at the same time a wastewater treatment plant. We would remind you that creating collection systems without proper treatment would breach Urban Wastewater Treatment Directive (91/43/EEC). Therefore, we invite you to further elaborate the requirements.</w:t>
      </w:r>
    </w:p>
    <w:p w14:paraId="76A659C7" w14:textId="77777777" w:rsidR="0014657B" w:rsidRPr="001F4E39" w:rsidRDefault="0014657B" w:rsidP="00D72A32">
      <w:pPr>
        <w:pStyle w:val="wordsection1"/>
        <w:ind w:right="-284"/>
        <w:jc w:val="both"/>
        <w:rPr>
          <w:color w:val="2F5496" w:themeColor="accent5" w:themeShade="BF"/>
          <w:lang w:val="sk-SK"/>
        </w:rPr>
      </w:pPr>
    </w:p>
    <w:p w14:paraId="528DF011" w14:textId="345496BB" w:rsidR="008222CB" w:rsidRPr="001F4E39" w:rsidRDefault="006466CF" w:rsidP="00D72A32">
      <w:pPr>
        <w:spacing w:after="0" w:line="240" w:lineRule="auto"/>
        <w:ind w:right="-284"/>
        <w:jc w:val="both"/>
        <w:rPr>
          <w:rFonts w:ascii="Times New Roman" w:hAnsi="Times New Roman" w:cs="Times New Roman"/>
          <w:color w:val="2F5496" w:themeColor="accent5" w:themeShade="BF"/>
          <w:sz w:val="24"/>
          <w:szCs w:val="24"/>
        </w:rPr>
      </w:pPr>
      <w:r w:rsidRPr="001F4E39">
        <w:rPr>
          <w:rFonts w:ascii="Times New Roman" w:hAnsi="Times New Roman" w:cs="Times New Roman"/>
          <w:color w:val="2F5496" w:themeColor="accent5" w:themeShade="BF"/>
          <w:sz w:val="24"/>
          <w:szCs w:val="24"/>
        </w:rPr>
        <w:t>Aktivity, ktoré sú predmetom podpory v rámci opatrenia 2.5.2 zahŕňajú výstavbu stokovej siete, ako aj výstavbu čistiarní odpadových vôd.</w:t>
      </w:r>
      <w:r w:rsidR="008222CB" w:rsidRPr="001F4E39">
        <w:rPr>
          <w:rFonts w:ascii="Times New Roman" w:hAnsi="Times New Roman" w:cs="Times New Roman"/>
          <w:color w:val="2F5496" w:themeColor="accent5" w:themeShade="BF"/>
          <w:sz w:val="24"/>
          <w:szCs w:val="24"/>
        </w:rPr>
        <w:t xml:space="preserve"> Preto súčasťou daného kritéria je aj hodnotiaca otázka v písmene B), či je projekt v súlade </w:t>
      </w:r>
      <w:r w:rsidR="008222CB" w:rsidRPr="001F4E39">
        <w:rPr>
          <w:rFonts w:ascii="Times New Roman" w:hAnsi="Times New Roman" w:cs="Times New Roman"/>
          <w:i/>
          <w:color w:val="2F5496" w:themeColor="accent5" w:themeShade="BF"/>
          <w:sz w:val="24"/>
          <w:szCs w:val="24"/>
        </w:rPr>
        <w:t>„s nariadením vlády SR č. 269/2010 Z. z. ktorým sa ustanovujú požiadavky na dosiahnutie dobrého stavu vôd“.</w:t>
      </w:r>
      <w:r w:rsidR="008222CB" w:rsidRPr="001F4E39">
        <w:rPr>
          <w:rFonts w:ascii="Times New Roman" w:hAnsi="Times New Roman" w:cs="Times New Roman"/>
          <w:color w:val="2F5496" w:themeColor="accent5" w:themeShade="BF"/>
          <w:sz w:val="24"/>
          <w:szCs w:val="24"/>
        </w:rPr>
        <w:t xml:space="preserve"> Súčasťou uvedeného nariadenia sú </w:t>
      </w:r>
      <w:r w:rsidR="003028A8" w:rsidRPr="001F4E39">
        <w:rPr>
          <w:rFonts w:ascii="Times New Roman" w:hAnsi="Times New Roman" w:cs="Times New Roman"/>
          <w:color w:val="2F5496" w:themeColor="accent5" w:themeShade="BF"/>
          <w:sz w:val="24"/>
          <w:szCs w:val="24"/>
        </w:rPr>
        <w:t xml:space="preserve">limitné hodnoty ukazovateľov znečistenia vypúšťaných odpadových vôd. </w:t>
      </w:r>
    </w:p>
    <w:p w14:paraId="2504FFE2" w14:textId="2846C1C0" w:rsidR="006466CF" w:rsidRPr="001F4E39" w:rsidRDefault="006466CF" w:rsidP="00D72A32">
      <w:pPr>
        <w:pStyle w:val="wordsection1"/>
        <w:ind w:right="-284"/>
        <w:jc w:val="both"/>
        <w:rPr>
          <w:color w:val="2F5496" w:themeColor="accent5" w:themeShade="BF"/>
          <w:lang w:val="sk-SK"/>
        </w:rPr>
      </w:pPr>
    </w:p>
    <w:p w14:paraId="232383FB" w14:textId="79AAF946" w:rsidR="00D617A6" w:rsidRPr="001F4E39" w:rsidRDefault="00D617A6" w:rsidP="00D72A32">
      <w:pPr>
        <w:pStyle w:val="wordsection1"/>
        <w:spacing w:after="120"/>
        <w:ind w:right="-284"/>
        <w:jc w:val="both"/>
        <w:rPr>
          <w:color w:val="000000"/>
          <w:lang w:val="sk-SK"/>
        </w:rPr>
      </w:pPr>
      <w:r w:rsidRPr="001F4E39">
        <w:rPr>
          <w:color w:val="000000"/>
          <w:lang w:val="sk-SK"/>
        </w:rPr>
        <w:lastRenderedPageBreak/>
        <w:t>This measure includes support to individual/alternative solutions. The document does not provide any guidance when individual solutions could be applied. Therefore, this relation should be added. In our opinion,  individual solutions should be implemented “in combination with activity 1” but a clear dividing line is yet to be set.</w:t>
      </w:r>
    </w:p>
    <w:p w14:paraId="19339116" w14:textId="77777777" w:rsidR="00E555BC" w:rsidRPr="001F4E39" w:rsidRDefault="00E555BC" w:rsidP="00E555BC">
      <w:pPr>
        <w:spacing w:after="120" w:line="240" w:lineRule="auto"/>
        <w:jc w:val="both"/>
        <w:rPr>
          <w:rFonts w:ascii="Times New Roman" w:hAnsi="Times New Roman" w:cs="Times New Roman"/>
          <w:color w:val="2F5496" w:themeColor="accent5" w:themeShade="BF"/>
          <w:sz w:val="24"/>
          <w:szCs w:val="24"/>
        </w:rPr>
      </w:pPr>
      <w:r w:rsidRPr="001F4E39">
        <w:rPr>
          <w:rFonts w:ascii="Times New Roman" w:hAnsi="Times New Roman" w:cs="Times New Roman"/>
          <w:color w:val="2F5496" w:themeColor="accent5" w:themeShade="BF"/>
          <w:sz w:val="24"/>
          <w:szCs w:val="24"/>
        </w:rPr>
        <w:t>Aktivitou „Budovanie decentralizovaných – t. j. individuálnych a iných primeraných systémov  nakladania s komunálnymi odpadovými vodami (IPS)“ môže byť riešené nakladanie s komunálnymi odpadovými vodami iba za podmienky, že:</w:t>
      </w:r>
    </w:p>
    <w:p w14:paraId="6A51BC6D" w14:textId="77777777" w:rsidR="00E555BC" w:rsidRPr="001F4E39" w:rsidRDefault="00E555BC" w:rsidP="00E555BC">
      <w:pPr>
        <w:pStyle w:val="Odsekzoznamu"/>
        <w:numPr>
          <w:ilvl w:val="0"/>
          <w:numId w:val="7"/>
        </w:numPr>
        <w:tabs>
          <w:tab w:val="left" w:pos="284"/>
        </w:tabs>
        <w:spacing w:after="120"/>
        <w:ind w:left="0" w:firstLine="0"/>
        <w:jc w:val="both"/>
        <w:rPr>
          <w:rFonts w:ascii="Times New Roman" w:hAnsi="Times New Roman" w:cs="Times New Roman"/>
          <w:color w:val="2F5496" w:themeColor="accent5" w:themeShade="BF"/>
          <w:sz w:val="24"/>
          <w:szCs w:val="24"/>
        </w:rPr>
      </w:pPr>
      <w:r w:rsidRPr="001F4E39">
        <w:rPr>
          <w:rFonts w:ascii="Times New Roman" w:hAnsi="Times New Roman" w:cs="Times New Roman"/>
          <w:color w:val="2F5496" w:themeColor="accent5" w:themeShade="BF"/>
          <w:sz w:val="24"/>
          <w:szCs w:val="24"/>
        </w:rPr>
        <w:t>realizáciou aktivity na výstavbou stokovej siete a ČOV (aktivita 1) sa dosiahne vyriešenie aglomerácie tak, aby bolo zabezpečené pripojenie na verejnú kanalizáciu minimálne 85 % existujúcich producentov odpadových vôd  (EO) v predmetnej aglomerácii a súladu ČOV s nariadením vlády SR č. 269/2010 Z. z., ktorým sa ustanovujú požiadavky na dosiahnutie dobrého stavu vôd a zároveň</w:t>
      </w:r>
    </w:p>
    <w:p w14:paraId="5CB68DB8" w14:textId="77777777" w:rsidR="00E555BC" w:rsidRPr="001F4E39" w:rsidRDefault="00E555BC" w:rsidP="00E555BC">
      <w:pPr>
        <w:pStyle w:val="Odsekzoznamu"/>
        <w:numPr>
          <w:ilvl w:val="0"/>
          <w:numId w:val="7"/>
        </w:numPr>
        <w:tabs>
          <w:tab w:val="left" w:pos="284"/>
        </w:tabs>
        <w:spacing w:after="120"/>
        <w:ind w:left="0" w:firstLine="0"/>
        <w:jc w:val="both"/>
        <w:rPr>
          <w:rFonts w:ascii="Times New Roman" w:hAnsi="Times New Roman" w:cs="Times New Roman"/>
          <w:color w:val="2F5496" w:themeColor="accent5" w:themeShade="BF"/>
          <w:sz w:val="24"/>
          <w:szCs w:val="24"/>
        </w:rPr>
      </w:pPr>
      <w:r w:rsidRPr="001F4E39">
        <w:rPr>
          <w:rFonts w:ascii="Times New Roman" w:hAnsi="Times New Roman" w:cs="Times New Roman"/>
          <w:color w:val="2F5496" w:themeColor="accent5" w:themeShade="BF"/>
          <w:sz w:val="24"/>
          <w:szCs w:val="24"/>
        </w:rPr>
        <w:t xml:space="preserve">riešenie prostredníctvom IPS bolo povolené príslušným orgánom štátnej vodnej správy – túto skutočnosť bude žiadateľ povinný preukázať platným povolením.   </w:t>
      </w:r>
    </w:p>
    <w:p w14:paraId="6267A9CD" w14:textId="77777777" w:rsidR="00E555BC" w:rsidRPr="001F4E39" w:rsidRDefault="00E555BC" w:rsidP="00E555BC">
      <w:pPr>
        <w:spacing w:after="0" w:line="240" w:lineRule="auto"/>
        <w:jc w:val="both"/>
        <w:rPr>
          <w:rFonts w:ascii="Times New Roman" w:hAnsi="Times New Roman" w:cs="Times New Roman"/>
          <w:color w:val="2F5496" w:themeColor="accent5" w:themeShade="BF"/>
          <w:sz w:val="24"/>
          <w:szCs w:val="24"/>
        </w:rPr>
      </w:pPr>
      <w:r w:rsidRPr="001F4E39">
        <w:rPr>
          <w:rFonts w:ascii="Times New Roman" w:hAnsi="Times New Roman" w:cs="Times New Roman"/>
          <w:color w:val="2F5496" w:themeColor="accent5" w:themeShade="BF"/>
          <w:sz w:val="24"/>
          <w:szCs w:val="24"/>
        </w:rPr>
        <w:t xml:space="preserve">Uplatňovanie kritérií na povolenie IPS je teda predmetom povoľovacieho konania, a nie predmetom výzvy alebo hodnotiacich a výberových kritérií. </w:t>
      </w:r>
    </w:p>
    <w:p w14:paraId="3DEA1522" w14:textId="77777777" w:rsidR="00E555BC" w:rsidRPr="001F4E39" w:rsidRDefault="00E555BC" w:rsidP="00E555BC">
      <w:pPr>
        <w:spacing w:after="0" w:line="240" w:lineRule="auto"/>
        <w:jc w:val="both"/>
        <w:rPr>
          <w:rFonts w:ascii="Times New Roman" w:hAnsi="Times New Roman" w:cs="Times New Roman"/>
          <w:color w:val="2F5496" w:themeColor="accent5" w:themeShade="BF"/>
          <w:sz w:val="24"/>
          <w:szCs w:val="24"/>
        </w:rPr>
      </w:pPr>
      <w:r w:rsidRPr="001F4E39">
        <w:rPr>
          <w:rFonts w:ascii="Times New Roman" w:hAnsi="Times New Roman" w:cs="Times New Roman"/>
          <w:color w:val="2F5496" w:themeColor="accent5" w:themeShade="BF"/>
          <w:sz w:val="24"/>
          <w:szCs w:val="24"/>
        </w:rPr>
        <w:t>Vydané povolenia na výstavbu IPS sú zároveň právne záväzné (a spochybňované môžu byť iba právne stanoveným spôsobom, napr. form</w:t>
      </w:r>
      <w:bookmarkStart w:id="0" w:name="_GoBack"/>
      <w:bookmarkEnd w:id="0"/>
      <w:r w:rsidRPr="001F4E39">
        <w:rPr>
          <w:rFonts w:ascii="Times New Roman" w:hAnsi="Times New Roman" w:cs="Times New Roman"/>
          <w:color w:val="2F5496" w:themeColor="accent5" w:themeShade="BF"/>
          <w:sz w:val="24"/>
          <w:szCs w:val="24"/>
        </w:rPr>
        <w:t xml:space="preserve">ou podnetu na preskúmanie rozhodnutia mimo odvolacieho konania).   </w:t>
      </w:r>
    </w:p>
    <w:p w14:paraId="58399643" w14:textId="77777777" w:rsidR="00E555BC" w:rsidRPr="001F4E39" w:rsidRDefault="00E555BC" w:rsidP="00E555BC">
      <w:pPr>
        <w:spacing w:line="240" w:lineRule="auto"/>
        <w:jc w:val="both"/>
        <w:rPr>
          <w:rFonts w:ascii="Times New Roman" w:hAnsi="Times New Roman" w:cs="Times New Roman"/>
          <w:color w:val="2F5496" w:themeColor="accent5" w:themeShade="BF"/>
          <w:sz w:val="24"/>
          <w:szCs w:val="24"/>
        </w:rPr>
      </w:pPr>
      <w:r w:rsidRPr="001F4E39">
        <w:rPr>
          <w:rFonts w:ascii="Times New Roman" w:hAnsi="Times New Roman" w:cs="Times New Roman"/>
          <w:color w:val="2F5496" w:themeColor="accent5" w:themeShade="BF"/>
          <w:sz w:val="24"/>
          <w:szCs w:val="24"/>
        </w:rPr>
        <w:t>Úlohou hodnotiacich a výberových kritérií v rámci výziev nie je nahrádzať rozhodovací proces pri povoľovaní vodných stavieb (verejnej kanalizácie alebo IPS). Práve tento procese slúži na stanovenie okolností, za ktorých je možné povoliť IPS.</w:t>
      </w:r>
    </w:p>
    <w:p w14:paraId="34466B2C" w14:textId="77777777" w:rsidR="00E555BC" w:rsidRPr="001F4E39" w:rsidRDefault="00E555BC" w:rsidP="00E555BC">
      <w:pPr>
        <w:spacing w:line="240" w:lineRule="auto"/>
        <w:jc w:val="both"/>
        <w:rPr>
          <w:rFonts w:ascii="Times New Roman" w:hAnsi="Times New Roman" w:cs="Times New Roman"/>
          <w:color w:val="2F5496" w:themeColor="accent5" w:themeShade="BF"/>
          <w:sz w:val="24"/>
          <w:szCs w:val="24"/>
        </w:rPr>
      </w:pPr>
      <w:r w:rsidRPr="001F4E39">
        <w:rPr>
          <w:rFonts w:ascii="Times New Roman" w:hAnsi="Times New Roman" w:cs="Times New Roman"/>
          <w:color w:val="2F5496" w:themeColor="accent5" w:themeShade="BF"/>
          <w:sz w:val="24"/>
          <w:szCs w:val="24"/>
        </w:rPr>
        <w:t xml:space="preserve">Podľa § 36 ods. 2 a 3 zákona č. 364/2004 Z. z. o vodách „Komunálne odpadové vody, ktoré vznikajú v aglomeráciách nad 2 000 ekvivalentných obyvateľov, sa musia odvádzať a prejsť čistením len verejnou kanalizáciou. Tam, kde výstavba verejnej kanalizácie nepredstavuje prínos pre životné prostredie alebo vyžaduje neprimerane vysoké náklady, možno použiť individuálne systémy alebo iné primerané systémy, ktorými sa dosiahne rovnaká úroveň ochrany životného prostredia ako pri odvádzaní odpadových vôd verejnou kanalizáciou... Použitie individuálneho systému alebo iného primeraného systému v povolení pri vodotesných žumpách odôvodní orgán štátnej správy a pri malých čistiarňach odpadových vôd orgán štátnej vodnej správy.... Nakladanie s komunálnymi odpadovými vodami, ktoré vznikajú v aglomeráciách menších ako 2 000 ekvivalentných obyvateľov, ktoré nemajú vybudovanú verejnú kanalizáciu bez primeraného čistenia alebo v riedko osídlených oblastiach mimo aglomerácií možno okrem verejnej kanalizácie riešiť aj individuálnymi systémami alebo inými primeranými systémami, ktorými sú najmä vodotesné žumpy a pre riedko osídlené oblasti aj malé čistiarne odpadových vôd s primeraným čistením tak, aby sa dosiahli environmentálne ciele pre povrchové vody a podzemné vody.“ </w:t>
      </w:r>
    </w:p>
    <w:p w14:paraId="0C8A40DE" w14:textId="77777777" w:rsidR="00E555BC" w:rsidRPr="001F4E39" w:rsidRDefault="00E555BC" w:rsidP="00E555BC">
      <w:pPr>
        <w:pStyle w:val="Textkomentra"/>
        <w:jc w:val="both"/>
        <w:rPr>
          <w:rFonts w:ascii="Times New Roman" w:hAnsi="Times New Roman" w:cs="Times New Roman"/>
          <w:color w:val="2F5496" w:themeColor="accent5" w:themeShade="BF"/>
          <w:sz w:val="24"/>
          <w:szCs w:val="24"/>
        </w:rPr>
      </w:pPr>
      <w:r w:rsidRPr="001F4E39">
        <w:rPr>
          <w:rFonts w:ascii="Times New Roman" w:hAnsi="Times New Roman" w:cs="Times New Roman"/>
          <w:color w:val="2F5496" w:themeColor="accent5" w:themeShade="BF"/>
          <w:sz w:val="24"/>
          <w:szCs w:val="24"/>
        </w:rPr>
        <w:t>Taktiež podľa § 23 ods. 2 zákona č.  442/2002 o verejných vodovodoch a verejných kanalizáciách „....Vlastník stavby alebo vlastník pozemku, na ktorom bola povolená žumpa, je povinný pripojiť stavbu alebo pozemok na verejnú kanalizáciu, ak je to technicky možné a nevyžaduje si to neprimerane vysoké náklady.“</w:t>
      </w:r>
    </w:p>
    <w:p w14:paraId="2EE73BDF" w14:textId="77777777" w:rsidR="00E555BC" w:rsidRPr="001F4E39" w:rsidRDefault="00E555BC" w:rsidP="00E555BC">
      <w:pPr>
        <w:pStyle w:val="Textkomentra"/>
        <w:spacing w:after="0"/>
        <w:jc w:val="both"/>
        <w:rPr>
          <w:rFonts w:ascii="Times New Roman" w:hAnsi="Times New Roman" w:cs="Times New Roman"/>
          <w:color w:val="2F5496" w:themeColor="accent5" w:themeShade="BF"/>
          <w:sz w:val="24"/>
          <w:szCs w:val="24"/>
        </w:rPr>
      </w:pPr>
      <w:r w:rsidRPr="001F4E39">
        <w:rPr>
          <w:rFonts w:ascii="Times New Roman" w:hAnsi="Times New Roman" w:cs="Times New Roman"/>
          <w:color w:val="2F5496" w:themeColor="accent5" w:themeShade="BF"/>
          <w:sz w:val="24"/>
          <w:szCs w:val="24"/>
        </w:rPr>
        <w:t xml:space="preserve">Sekcia vôd MŽP SR nemá v súčasnosti všeobecné usmernenie k neprimeraným nákladom, postupuje sa individuálne pri každom povolení vzhľadom na miestne podmienky, tak, aby náklady na pripojenie na kanalizáciu neboli neprimerane vysoké s ohľadom na miestne podmienky.  </w:t>
      </w:r>
    </w:p>
    <w:p w14:paraId="0560D0F6" w14:textId="59FF2732" w:rsidR="00D617A6" w:rsidRPr="001F4E39" w:rsidRDefault="00D617A6" w:rsidP="00D72A32">
      <w:pPr>
        <w:pStyle w:val="wordsection1"/>
        <w:ind w:right="-284"/>
        <w:jc w:val="both"/>
        <w:rPr>
          <w:b/>
          <w:i/>
          <w:iCs/>
          <w:color w:val="00B050"/>
          <w:sz w:val="22"/>
          <w:szCs w:val="22"/>
          <w:lang w:val="sk-SK"/>
        </w:rPr>
      </w:pPr>
    </w:p>
    <w:p w14:paraId="596D3016" w14:textId="77777777" w:rsidR="007C5A03" w:rsidRPr="001F4E39" w:rsidRDefault="007C5A03" w:rsidP="007C5A03">
      <w:pPr>
        <w:pStyle w:val="wordsection1"/>
        <w:ind w:right="-284"/>
        <w:jc w:val="both"/>
        <w:rPr>
          <w:color w:val="000000"/>
          <w:lang w:val="sk-SK"/>
        </w:rPr>
      </w:pPr>
    </w:p>
    <w:p w14:paraId="63328B76" w14:textId="69E76FDF" w:rsidR="007C5A03" w:rsidRPr="001F4E39" w:rsidRDefault="007C5A03" w:rsidP="007C5A03">
      <w:pPr>
        <w:pStyle w:val="wordsection1"/>
        <w:ind w:right="-284"/>
        <w:jc w:val="both"/>
        <w:rPr>
          <w:color w:val="000000"/>
          <w:lang w:val="sk-SK"/>
        </w:rPr>
      </w:pPr>
      <w:r w:rsidRPr="001F4E39">
        <w:rPr>
          <w:color w:val="000000"/>
          <w:lang w:val="sk-SK"/>
        </w:rPr>
        <w:lastRenderedPageBreak/>
        <w:t xml:space="preserve">Pripomienka EK: </w:t>
      </w:r>
    </w:p>
    <w:p w14:paraId="6E3D1035" w14:textId="17CF11BE" w:rsidR="00D617A6" w:rsidRPr="001F4E39" w:rsidRDefault="00D617A6" w:rsidP="007C5A03">
      <w:pPr>
        <w:pStyle w:val="wordsection1"/>
        <w:spacing w:after="240"/>
        <w:jc w:val="both"/>
        <w:rPr>
          <w:color w:val="000000"/>
          <w:lang w:val="sk-SK"/>
        </w:rPr>
      </w:pPr>
      <w:r w:rsidRPr="001F4E39">
        <w:rPr>
          <w:color w:val="000000"/>
          <w:lang w:val="sk-SK"/>
        </w:rPr>
        <w:t>And there is another question concerning specifically the individual solutions: Who will be the beneficiary/beneficiaries of them? Will it be the municipality or the affected “houses” (households, enterprises, etc.)?</w:t>
      </w:r>
    </w:p>
    <w:p w14:paraId="53F2F7EB" w14:textId="77777777" w:rsidR="00E555BC" w:rsidRPr="001F4E39" w:rsidRDefault="00E555BC" w:rsidP="00E555BC">
      <w:pPr>
        <w:pStyle w:val="wordsection1"/>
        <w:spacing w:after="120"/>
        <w:jc w:val="both"/>
        <w:rPr>
          <w:b/>
          <w:i/>
          <w:iCs/>
          <w:color w:val="2F5496" w:themeColor="accent5" w:themeShade="BF"/>
          <w:sz w:val="22"/>
          <w:szCs w:val="22"/>
          <w:lang w:val="sk-SK"/>
        </w:rPr>
      </w:pPr>
      <w:r w:rsidRPr="001F4E39">
        <w:rPr>
          <w:b/>
          <w:iCs/>
          <w:color w:val="2F5496" w:themeColor="accent5" w:themeShade="BF"/>
          <w:lang w:val="sk-SK"/>
        </w:rPr>
        <w:t>Reakcia SO MŽP SR:</w:t>
      </w:r>
    </w:p>
    <w:p w14:paraId="2B1DE0D1" w14:textId="77777777" w:rsidR="00E555BC" w:rsidRPr="001F4E39" w:rsidRDefault="00E555BC" w:rsidP="00E555BC">
      <w:pPr>
        <w:pStyle w:val="wordsection1"/>
        <w:spacing w:after="120"/>
        <w:jc w:val="both"/>
        <w:rPr>
          <w:color w:val="2F5496" w:themeColor="accent5" w:themeShade="BF"/>
          <w:lang w:val="sk-SK"/>
        </w:rPr>
      </w:pPr>
      <w:r w:rsidRPr="001F4E39">
        <w:rPr>
          <w:color w:val="2F5496" w:themeColor="accent5" w:themeShade="BF"/>
          <w:lang w:val="sk-SK"/>
        </w:rPr>
        <w:t>Predložené hodnotiace a výberové kritériá sú tzv. vecnými kritériami, ktoré zohľadňujú vecné špecifiká podpory, vyplývajúce najmä z oprávnenosti aktivít. Tieto kritéria budú doplnené o kritériá v súlade s požiadavkami článku 73 nariadenia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(ďalej ako „nariadenie o spoločných ustanoveniach“). Kritériá podľa článku 73 nariadenia o spoločných ustanoveniach sú uvedené v dokumente „Všeobecná metodika a kritériá použité pre výber projektov“ , ktorý bol vypracovaný riadiacim orgánom pre Program Slovensko 2021 – 2027 a schválený Monitorovacím výborom pre Program Slovensko 2021 – 2027 dňa 31.05.2023 v súlade s článkom 40 nariadenia o spoločných ustanoveniach.</w:t>
      </w:r>
    </w:p>
    <w:p w14:paraId="344681BA" w14:textId="77777777" w:rsidR="00E555BC" w:rsidRPr="001F4E39" w:rsidRDefault="00E555BC" w:rsidP="00E555BC">
      <w:pPr>
        <w:pStyle w:val="wordsection1"/>
        <w:spacing w:after="120"/>
        <w:jc w:val="both"/>
        <w:rPr>
          <w:i/>
          <w:color w:val="2F5496" w:themeColor="accent5" w:themeShade="BF"/>
          <w:lang w:val="sk-SK"/>
        </w:rPr>
      </w:pPr>
      <w:r w:rsidRPr="001F4E39">
        <w:rPr>
          <w:color w:val="2F5496" w:themeColor="accent5" w:themeShade="BF"/>
          <w:lang w:val="sk-SK"/>
        </w:rPr>
        <w:t xml:space="preserve">Súčasťou kritérií podľa článku 73 nariadenia o spoločných ustanoveniach je aj vylučujúce kritérium č. 5, ktoré znie: </w:t>
      </w:r>
      <w:r w:rsidRPr="001F4E39">
        <w:rPr>
          <w:i/>
          <w:color w:val="2F5496" w:themeColor="accent5" w:themeShade="BF"/>
          <w:lang w:val="sk-SK"/>
        </w:rPr>
        <w:t>Má prijímateľ potrebné finančné zdroje a mechanizmy na pokrytie nákladov na prevádzku a údržbu v prípade projektu, ktorý zahŕňa investície do infraštruktúry alebo produktívne investície , aby zabezpečil ich finančnú udržateľnosť (článok 73 ods. 2 písm. d) nariadenia o spoločných ustanoveniach)?</w:t>
      </w:r>
    </w:p>
    <w:p w14:paraId="0FEB8135" w14:textId="77777777" w:rsidR="00E555BC" w:rsidRPr="001F4E39" w:rsidRDefault="00E555BC" w:rsidP="00E555BC">
      <w:pPr>
        <w:pStyle w:val="wordsection1"/>
        <w:spacing w:after="120"/>
        <w:jc w:val="both"/>
        <w:rPr>
          <w:color w:val="2F5496" w:themeColor="accent5" w:themeShade="BF"/>
          <w:lang w:val="sk-SK"/>
        </w:rPr>
      </w:pPr>
      <w:r w:rsidRPr="001F4E39">
        <w:rPr>
          <w:color w:val="2F5496" w:themeColor="accent5" w:themeShade="BF"/>
          <w:lang w:val="sk-SK"/>
        </w:rPr>
        <w:t>Uvedené nastavenie je systémovým nastavením, kedy požiadavky podľa čl. 73 nariadenia o spoločných ustanoveniach definovaných v dokumente „Všeobecná metodika a kritériá použité pre výber projektov“ sa spoja s vecnými kritériami, ktoré sú schvaľované osobitne podľa špecifík oprávnených aktivít.</w:t>
      </w:r>
    </w:p>
    <w:p w14:paraId="58C8906A" w14:textId="77777777" w:rsidR="00E555BC" w:rsidRPr="001F4E39" w:rsidRDefault="00E555BC" w:rsidP="00E555BC">
      <w:pPr>
        <w:pStyle w:val="wordsection1"/>
        <w:jc w:val="both"/>
        <w:rPr>
          <w:color w:val="2F5496" w:themeColor="accent5" w:themeShade="BF"/>
          <w:lang w:val="sk-SK"/>
        </w:rPr>
      </w:pPr>
      <w:r w:rsidRPr="001F4E39">
        <w:rPr>
          <w:color w:val="2F5496" w:themeColor="accent5" w:themeShade="BF"/>
          <w:lang w:val="sk-SK"/>
        </w:rPr>
        <w:t>Máme za to, že vyššie uvedené kritérium  stanovené podľa článku 73 nariadenia o spoločných ustanoveniach vecne napĺňa  požiadavku uvedenú vo vznesenej pripomienke EK.</w:t>
      </w:r>
    </w:p>
    <w:p w14:paraId="21591B42" w14:textId="77777777" w:rsidR="00E555BC" w:rsidRPr="001F4E39" w:rsidRDefault="00E555BC" w:rsidP="00E555BC">
      <w:pPr>
        <w:pStyle w:val="wordsection1"/>
        <w:jc w:val="both"/>
        <w:rPr>
          <w:color w:val="2F5496" w:themeColor="accent5" w:themeShade="BF"/>
          <w:lang w:val="sk-SK"/>
        </w:rPr>
      </w:pPr>
    </w:p>
    <w:p w14:paraId="72778A44" w14:textId="77777777" w:rsidR="00E555BC" w:rsidRPr="001F4E39" w:rsidRDefault="00E555BC" w:rsidP="00E555BC">
      <w:pPr>
        <w:pStyle w:val="wordsection1"/>
        <w:spacing w:after="120"/>
        <w:jc w:val="both"/>
        <w:rPr>
          <w:color w:val="2F5496" w:themeColor="accent5" w:themeShade="BF"/>
          <w:lang w:val="sk-SK"/>
        </w:rPr>
      </w:pPr>
      <w:r w:rsidRPr="001F4E39">
        <w:rPr>
          <w:color w:val="2F5496" w:themeColor="accent5" w:themeShade="BF"/>
          <w:lang w:val="sk-SK"/>
        </w:rPr>
        <w:t>Nad rámec uvedeného systémového nastavenia uvádzame, že kritérium č. 5 uvedené v dokumente „Všeobecná metodika a kritériá použité pre výber projektov“ nebude pri opatreniach 2.5.2 a 2.5.4 (ani pri 2.5.1) aplikované, a to z dôvodu existencie národnej legislatívy, ktorá reguluje trh s nakladaním s komunálnymi odpadovými vodami, ako aj trh dodávky pitnej vody verejným vodovom. V rámci tejto regulácie vstupuje štát prostredníctvom Úradu pre reguláciu sieťových odvetví aj do cenovej regulácie. V rámci cenovej regulácie stanovuje ÚRSO maximálnu cenu vodného a stočného, ktorá rešpektuje tzv. ekonomicky oprávnené náklady (vrátane náklady prevádzky) a primeraný zisk pre prevádzkovateľa vybudovanej infraštruktúry. Z tohto dôvodu je zabezpečené, aby príjmy z prevádzky pokryli prevádzkové náklady, čím sa zabezpečí prevádzková udržateľnosť infraštruktúry.</w:t>
      </w:r>
    </w:p>
    <w:p w14:paraId="6F0043FE" w14:textId="77777777" w:rsidR="00E555BC" w:rsidRPr="001F4E39" w:rsidRDefault="00E555BC" w:rsidP="00E555BC">
      <w:pPr>
        <w:pStyle w:val="wordsection1"/>
        <w:jc w:val="both"/>
        <w:rPr>
          <w:color w:val="2F5496" w:themeColor="accent5" w:themeShade="BF"/>
          <w:lang w:val="sk-SK"/>
        </w:rPr>
      </w:pPr>
      <w:r w:rsidRPr="001F4E39">
        <w:rPr>
          <w:color w:val="2F5496" w:themeColor="accent5" w:themeShade="BF"/>
          <w:lang w:val="sk-SK"/>
        </w:rPr>
        <w:t>V rámci Slovenskej republiky a odvetvia dodávky pitnej vody, resp. odvádzania/čistenia odpadovej vody sa cenová regulácia riadi najmä:</w:t>
      </w:r>
    </w:p>
    <w:p w14:paraId="783D59B0" w14:textId="77777777" w:rsidR="00E555BC" w:rsidRPr="001F4E39" w:rsidRDefault="00E555BC" w:rsidP="00E555BC">
      <w:pPr>
        <w:pStyle w:val="wordsection1"/>
        <w:jc w:val="both"/>
        <w:rPr>
          <w:color w:val="2F5496" w:themeColor="accent5" w:themeShade="BF"/>
          <w:lang w:val="sk-SK"/>
        </w:rPr>
      </w:pPr>
      <w:r w:rsidRPr="001F4E39">
        <w:rPr>
          <w:color w:val="2F5496" w:themeColor="accent5" w:themeShade="BF"/>
          <w:lang w:val="sk-SK"/>
        </w:rPr>
        <w:t>• zákonom č. 250/2012 o regulácii v sieťových odvetviach,</w:t>
      </w:r>
    </w:p>
    <w:p w14:paraId="64A69CDC" w14:textId="60731AAC" w:rsidR="00E555BC" w:rsidRPr="001F4E39" w:rsidRDefault="00E555BC" w:rsidP="00E555BC">
      <w:pPr>
        <w:pStyle w:val="wordsection1"/>
        <w:spacing w:after="120"/>
        <w:jc w:val="both"/>
        <w:rPr>
          <w:color w:val="2F5496" w:themeColor="accent5" w:themeShade="BF"/>
          <w:lang w:val="sk-SK"/>
        </w:rPr>
      </w:pPr>
      <w:r w:rsidRPr="001F4E39">
        <w:rPr>
          <w:color w:val="2F5496" w:themeColor="accent5" w:themeShade="BF"/>
          <w:lang w:val="sk-SK"/>
        </w:rPr>
        <w:t>• vyhláškou Úradu pre reguláciu sieťových odvetví č. 323/2022 Z. z. ktorou sa ustanovuje cenová regulácia výroby, distribúcie a dodávky pitnej vody verejným vodovodom a odvádzania a čistenia odpadovej vody verejnou kanalizáciou a niektoré podmienky vykonávania regulovaných činností vo vodnom hospodárstve</w:t>
      </w:r>
      <w:r w:rsidRPr="001F4E39">
        <w:rPr>
          <w:color w:val="2F5496" w:themeColor="accent5" w:themeShade="BF"/>
          <w:lang w:val="sk-SK"/>
        </w:rPr>
        <w:t>.</w:t>
      </w:r>
    </w:p>
    <w:p w14:paraId="66DCA1B9" w14:textId="77777777" w:rsidR="00E555BC" w:rsidRPr="001F4E39" w:rsidRDefault="00E555BC" w:rsidP="00E555BC">
      <w:pPr>
        <w:pStyle w:val="wordsection1"/>
        <w:jc w:val="both"/>
        <w:rPr>
          <w:color w:val="2F5496" w:themeColor="accent5" w:themeShade="BF"/>
          <w:lang w:val="sk-SK"/>
        </w:rPr>
      </w:pPr>
      <w:r w:rsidRPr="001F4E39">
        <w:rPr>
          <w:color w:val="2F5496" w:themeColor="accent5" w:themeShade="BF"/>
          <w:lang w:val="sk-SK"/>
        </w:rPr>
        <w:lastRenderedPageBreak/>
        <w:t>Kritérium č. 5 z dokumentu „Všeobecná metodika a kritériá použité pre výber projektov“ preto nebude osobitne aplikované, aby sa predišlo goldplatingu a urýchlilo sa schvaľovanie žiadostí o poskytnutie nenávratného finančného príspevku.</w:t>
      </w:r>
    </w:p>
    <w:p w14:paraId="1912D32A" w14:textId="77777777" w:rsidR="00E555BC" w:rsidRPr="001F4E39" w:rsidRDefault="00E555BC" w:rsidP="007C5A03">
      <w:pPr>
        <w:pStyle w:val="wordsection1"/>
        <w:ind w:right="-284"/>
        <w:jc w:val="both"/>
        <w:rPr>
          <w:color w:val="000000"/>
          <w:lang w:val="sk-SK"/>
        </w:rPr>
      </w:pPr>
    </w:p>
    <w:p w14:paraId="79B9A252" w14:textId="619E82F5" w:rsidR="007C5A03" w:rsidRPr="001F4E39" w:rsidRDefault="007C5A03" w:rsidP="007C5A03">
      <w:pPr>
        <w:pStyle w:val="wordsection1"/>
        <w:ind w:right="-284"/>
        <w:jc w:val="both"/>
        <w:rPr>
          <w:color w:val="000000"/>
          <w:lang w:val="sk-SK"/>
        </w:rPr>
      </w:pPr>
      <w:r w:rsidRPr="001F4E39">
        <w:rPr>
          <w:color w:val="000000"/>
          <w:lang w:val="sk-SK"/>
        </w:rPr>
        <w:t xml:space="preserve">Pripomienka EK: </w:t>
      </w:r>
    </w:p>
    <w:p w14:paraId="026037F9" w14:textId="42C168F6" w:rsidR="00D617A6" w:rsidRPr="001F4E39" w:rsidRDefault="00D617A6" w:rsidP="00ED295C">
      <w:pPr>
        <w:pStyle w:val="wordsection1"/>
        <w:jc w:val="both"/>
        <w:rPr>
          <w:color w:val="000000"/>
          <w:lang w:val="sk-SK"/>
        </w:rPr>
      </w:pPr>
      <w:r w:rsidRPr="001F4E39">
        <w:rPr>
          <w:color w:val="000000"/>
          <w:lang w:val="sk-SK"/>
        </w:rPr>
        <w:t xml:space="preserve">In this measure territorial approach (support via ITIs) is also foreseen for agglomerations bellow 2000 p.e.. We would like to receive further information how the strategic approach will be ensured in both ways, what will be the division line and what allocations are foreseen for the </w:t>
      </w:r>
      <w:r w:rsidR="002B2CC6" w:rsidRPr="001F4E39">
        <w:rPr>
          <w:color w:val="000000"/>
          <w:lang w:val="sk-SK"/>
        </w:rPr>
        <w:br/>
      </w:r>
      <w:r w:rsidRPr="001F4E39">
        <w:rPr>
          <w:color w:val="000000"/>
          <w:lang w:val="sk-SK"/>
        </w:rPr>
        <w:t xml:space="preserve">2 approaches. </w:t>
      </w:r>
    </w:p>
    <w:p w14:paraId="404FF14C" w14:textId="1F1EF7BC" w:rsidR="00EF62E2" w:rsidRPr="001F4E39" w:rsidRDefault="00EF62E2" w:rsidP="00ED295C">
      <w:pPr>
        <w:pStyle w:val="wordsection1"/>
        <w:jc w:val="both"/>
        <w:rPr>
          <w:color w:val="000000"/>
          <w:lang w:val="sk-SK"/>
        </w:rPr>
      </w:pPr>
    </w:p>
    <w:p w14:paraId="4D70ACBA" w14:textId="77777777" w:rsidR="007C5A03" w:rsidRPr="001F4E39" w:rsidRDefault="007C5A03" w:rsidP="007C5A03">
      <w:pPr>
        <w:pStyle w:val="wordsection1"/>
        <w:spacing w:after="120"/>
        <w:ind w:right="-284"/>
        <w:jc w:val="both"/>
        <w:rPr>
          <w:b/>
          <w:i/>
          <w:iCs/>
          <w:color w:val="2F5496" w:themeColor="accent5" w:themeShade="BF"/>
          <w:sz w:val="22"/>
          <w:szCs w:val="22"/>
          <w:lang w:val="sk-SK"/>
        </w:rPr>
      </w:pPr>
      <w:r w:rsidRPr="001F4E39">
        <w:rPr>
          <w:b/>
          <w:iCs/>
          <w:color w:val="2F5496" w:themeColor="accent5" w:themeShade="BF"/>
          <w:lang w:val="sk-SK"/>
        </w:rPr>
        <w:t>Reakcia sprostredkovateľského orgánu MŽP SR:</w:t>
      </w:r>
    </w:p>
    <w:p w14:paraId="55E8C009" w14:textId="71F3C219" w:rsidR="00EF62E2" w:rsidRPr="001F4E39" w:rsidRDefault="00EF62E2" w:rsidP="002B2CC6">
      <w:pPr>
        <w:pStyle w:val="wordsection1"/>
        <w:spacing w:after="120"/>
        <w:jc w:val="both"/>
        <w:rPr>
          <w:color w:val="2F5496" w:themeColor="accent5" w:themeShade="BF"/>
          <w:lang w:val="sk-SK"/>
        </w:rPr>
      </w:pPr>
      <w:r w:rsidRPr="001F4E39">
        <w:rPr>
          <w:color w:val="2F5496" w:themeColor="accent5" w:themeShade="BF"/>
          <w:lang w:val="sk-SK"/>
        </w:rPr>
        <w:t>V opatren</w:t>
      </w:r>
      <w:r w:rsidR="00E01904" w:rsidRPr="001F4E39">
        <w:rPr>
          <w:color w:val="2F5496" w:themeColor="accent5" w:themeShade="BF"/>
          <w:lang w:val="sk-SK"/>
        </w:rPr>
        <w:t>í</w:t>
      </w:r>
      <w:r w:rsidRPr="001F4E39">
        <w:rPr>
          <w:color w:val="2F5496" w:themeColor="accent5" w:themeShade="BF"/>
          <w:lang w:val="sk-SK"/>
        </w:rPr>
        <w:t xml:space="preserve"> 2.5.2 </w:t>
      </w:r>
      <w:r w:rsidRPr="001F4E39">
        <w:rPr>
          <w:i/>
          <w:color w:val="2F5496" w:themeColor="accent5" w:themeShade="BF"/>
          <w:lang w:val="sk-SK"/>
        </w:rPr>
        <w:t>Podpora infraštruktúry v oblasti nakladania s komunálnymi odpadovými vodami v aglomeráciách do 2000 EO so zameraním najmä na územia prioritné z environmentálneho hľadiska mimo dobiehajúcich regiónov</w:t>
      </w:r>
      <w:r w:rsidR="00E01904" w:rsidRPr="001F4E39">
        <w:rPr>
          <w:i/>
          <w:color w:val="2F5496" w:themeColor="accent5" w:themeShade="BF"/>
          <w:lang w:val="sk-SK"/>
        </w:rPr>
        <w:t xml:space="preserve"> </w:t>
      </w:r>
      <w:r w:rsidR="00E01904" w:rsidRPr="001F4E39">
        <w:rPr>
          <w:color w:val="2F5496" w:themeColor="accent5" w:themeShade="BF"/>
          <w:lang w:val="sk-SK"/>
        </w:rPr>
        <w:t>sú ú</w:t>
      </w:r>
      <w:r w:rsidRPr="001F4E39">
        <w:rPr>
          <w:color w:val="2F5496" w:themeColor="accent5" w:themeShade="BF"/>
          <w:lang w:val="sk-SK"/>
        </w:rPr>
        <w:t>zemím prioritným z environmentálneho hľadiska chránené vodohospodárske oblasti (CHVO), pričom v rámci nich je najvyššou prioritou chránená vodohospodárska oblasť Žitný ostrov. Preto dopytovo-orientovaná výzva na predmetné opatrenie, ktorú vyhlási MŽP SR, bude primárne určená pre obce do 2 000 EO situované v chránenej vodohospodárskej oblasti Žitný ostrov a v druhom rade pre obce situované v ostatných chránených vodohospodárskych oblastiach v Bratislavskom samosprávnom kraji, Trnavskom samosprávnom kraji, Trenčianskom samosprávnom kraji a Žilinskom samosprávnom kraji. V Programe Slovensko je na opatrenie 2.5.2 pre dopytovo – orientovan</w:t>
      </w:r>
      <w:r w:rsidR="00141F89" w:rsidRPr="001F4E39">
        <w:rPr>
          <w:color w:val="2F5496" w:themeColor="accent5" w:themeShade="BF"/>
          <w:lang w:val="sk-SK"/>
        </w:rPr>
        <w:t>é</w:t>
      </w:r>
      <w:r w:rsidRPr="001F4E39">
        <w:rPr>
          <w:color w:val="2F5496" w:themeColor="accent5" w:themeShade="BF"/>
          <w:lang w:val="sk-SK"/>
        </w:rPr>
        <w:t xml:space="preserve"> výzv</w:t>
      </w:r>
      <w:r w:rsidR="00141F89" w:rsidRPr="001F4E39">
        <w:rPr>
          <w:color w:val="2F5496" w:themeColor="accent5" w:themeShade="BF"/>
          <w:lang w:val="sk-SK"/>
        </w:rPr>
        <w:t>y v gescii</w:t>
      </w:r>
      <w:r w:rsidRPr="001F4E39">
        <w:rPr>
          <w:color w:val="2F5496" w:themeColor="accent5" w:themeShade="BF"/>
          <w:lang w:val="sk-SK"/>
        </w:rPr>
        <w:t xml:space="preserve"> MŽP SR vyčlenená alokácia 40 106 592 EUR. </w:t>
      </w:r>
    </w:p>
    <w:p w14:paraId="6F01FBCA" w14:textId="211319AB" w:rsidR="00D27F1C" w:rsidRPr="001F4E39" w:rsidRDefault="00EF62E2" w:rsidP="00C26F31">
      <w:pPr>
        <w:pStyle w:val="wordsection1"/>
        <w:jc w:val="both"/>
        <w:rPr>
          <w:color w:val="2F5496" w:themeColor="accent5" w:themeShade="BF"/>
          <w:lang w:val="sk-SK"/>
        </w:rPr>
      </w:pPr>
      <w:r w:rsidRPr="001F4E39">
        <w:rPr>
          <w:color w:val="2F5496" w:themeColor="accent5" w:themeShade="BF"/>
          <w:lang w:val="sk-SK"/>
        </w:rPr>
        <w:t>Projekty realizované prostredníctvom integrovaných územných investícií (IÚI) budú schvaľované priamo Radou partnerstva príslušného samosprávneho kraja v súlade s dokumentom - Integrovaná územná stratégia príslušného samosprávneho kraja. Alokácia v Programe Slovensko na podporu opatrenia 2.5.2 určená riadiacim orgánom pre Program Slovensko (Ministerstvom investícií, regionálneho rozvoja a informatizácie SR) je pre všetky samosprávne kraje situované mimo dobiehajúcich regiónov (Trnavský samosprávny kraj, Nitriansky samosprávny kraj, Trenčiansky samosprávny kraj a Žilinský samosprávnom kraj) v</w:t>
      </w:r>
      <w:r w:rsidR="002B2CC6" w:rsidRPr="001F4E39">
        <w:rPr>
          <w:color w:val="2F5496" w:themeColor="accent5" w:themeShade="BF"/>
          <w:lang w:val="sk-SK"/>
        </w:rPr>
        <w:t xml:space="preserve"> celkovej </w:t>
      </w:r>
      <w:r w:rsidRPr="001F4E39">
        <w:rPr>
          <w:color w:val="2F5496" w:themeColor="accent5" w:themeShade="BF"/>
          <w:lang w:val="sk-SK"/>
        </w:rPr>
        <w:t xml:space="preserve">výške 27 500 000 EUR. O využití uvedenej alokácie na podporu konkrétnych projektových zámerov/IÚI teda môže rozhodnúť rada partnerstva príslušného samosprávneho kraja, pričom vzhľadom na limitovanú výšku alokácie pre jeden samosprávny kraj </w:t>
      </w:r>
      <w:r w:rsidR="002B2CC6" w:rsidRPr="001F4E39">
        <w:rPr>
          <w:color w:val="2F5496" w:themeColor="accent5" w:themeShade="BF"/>
          <w:lang w:val="sk-SK"/>
        </w:rPr>
        <w:br/>
      </w:r>
      <w:r w:rsidRPr="001F4E39">
        <w:rPr>
          <w:color w:val="2F5496" w:themeColor="accent5" w:themeShade="BF"/>
          <w:lang w:val="sk-SK"/>
        </w:rPr>
        <w:t>(cca 6 – 7 mil. EUR), za ktorú je možné podporiť jeden alebo len niekoľko projektov,</w:t>
      </w:r>
      <w:r w:rsidR="00141F89" w:rsidRPr="001F4E39">
        <w:rPr>
          <w:color w:val="2F5496" w:themeColor="accent5" w:themeShade="BF"/>
          <w:lang w:val="sk-SK"/>
        </w:rPr>
        <w:t xml:space="preserve"> sa</w:t>
      </w:r>
      <w:r w:rsidRPr="001F4E39">
        <w:rPr>
          <w:color w:val="2F5496" w:themeColor="accent5" w:themeShade="BF"/>
          <w:lang w:val="sk-SK"/>
        </w:rPr>
        <w:t xml:space="preserve"> nebude uplatňovať podmienka situovania aglomerácie v chránených vodohospodárskych oblastiach. Tým sa zároveň vytvorí možnosť podpory projektov, schválených radami partnerstva príslušných samosprávnych krajov, ktoré sú pripravené na realizáciu.</w:t>
      </w:r>
    </w:p>
    <w:sectPr w:rsidR="00D27F1C" w:rsidRPr="001F4E3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8122E" w14:textId="77777777" w:rsidR="00B934C6" w:rsidRDefault="00B934C6" w:rsidP="00914852">
      <w:pPr>
        <w:spacing w:after="0" w:line="240" w:lineRule="auto"/>
      </w:pPr>
      <w:r>
        <w:separator/>
      </w:r>
    </w:p>
  </w:endnote>
  <w:endnote w:type="continuationSeparator" w:id="0">
    <w:p w14:paraId="3B18C8FE" w14:textId="77777777" w:rsidR="00B934C6" w:rsidRDefault="00B934C6" w:rsidP="0091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595205"/>
      <w:docPartObj>
        <w:docPartGallery w:val="Page Numbers (Bottom of Page)"/>
        <w:docPartUnique/>
      </w:docPartObj>
    </w:sdtPr>
    <w:sdtEndPr/>
    <w:sdtContent>
      <w:p w14:paraId="67FD98B1" w14:textId="155F9729" w:rsidR="00141F89" w:rsidRDefault="00141F89">
        <w:pPr>
          <w:pStyle w:val="Pta"/>
          <w:jc w:val="center"/>
        </w:pPr>
        <w:r>
          <w:fldChar w:fldCharType="begin"/>
        </w:r>
        <w:r>
          <w:instrText>PAGE   \* MERGEFORMAT</w:instrText>
        </w:r>
        <w:r>
          <w:fldChar w:fldCharType="separate"/>
        </w:r>
        <w:r w:rsidR="001F4E39">
          <w:t>2</w:t>
        </w:r>
        <w:r>
          <w:fldChar w:fldCharType="end"/>
        </w:r>
      </w:p>
    </w:sdtContent>
  </w:sdt>
  <w:p w14:paraId="7C38677C" w14:textId="77777777" w:rsidR="00141F89" w:rsidRDefault="00141F8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9D398" w14:textId="77777777" w:rsidR="00B934C6" w:rsidRDefault="00B934C6" w:rsidP="00914852">
      <w:pPr>
        <w:spacing w:after="0" w:line="240" w:lineRule="auto"/>
      </w:pPr>
      <w:r>
        <w:separator/>
      </w:r>
    </w:p>
  </w:footnote>
  <w:footnote w:type="continuationSeparator" w:id="0">
    <w:p w14:paraId="3B3D551D" w14:textId="77777777" w:rsidR="00B934C6" w:rsidRDefault="00B934C6" w:rsidP="00914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883"/>
    <w:multiLevelType w:val="hybridMultilevel"/>
    <w:tmpl w:val="BB1C967E"/>
    <w:lvl w:ilvl="0" w:tplc="041B001B">
      <w:start w:val="1"/>
      <w:numFmt w:val="lowerRoman"/>
      <w:lvlText w:val="%1."/>
      <w:lvlJc w:val="right"/>
      <w:pPr>
        <w:ind w:left="1474" w:hanging="360"/>
      </w:pPr>
    </w:lvl>
    <w:lvl w:ilvl="1" w:tplc="041B0019" w:tentative="1">
      <w:start w:val="1"/>
      <w:numFmt w:val="lowerLetter"/>
      <w:lvlText w:val="%2."/>
      <w:lvlJc w:val="left"/>
      <w:pPr>
        <w:ind w:left="2194" w:hanging="360"/>
      </w:pPr>
    </w:lvl>
    <w:lvl w:ilvl="2" w:tplc="041B001B" w:tentative="1">
      <w:start w:val="1"/>
      <w:numFmt w:val="lowerRoman"/>
      <w:lvlText w:val="%3."/>
      <w:lvlJc w:val="right"/>
      <w:pPr>
        <w:ind w:left="2914" w:hanging="180"/>
      </w:pPr>
    </w:lvl>
    <w:lvl w:ilvl="3" w:tplc="041B000F" w:tentative="1">
      <w:start w:val="1"/>
      <w:numFmt w:val="decimal"/>
      <w:lvlText w:val="%4."/>
      <w:lvlJc w:val="left"/>
      <w:pPr>
        <w:ind w:left="3634" w:hanging="360"/>
      </w:pPr>
    </w:lvl>
    <w:lvl w:ilvl="4" w:tplc="041B0019" w:tentative="1">
      <w:start w:val="1"/>
      <w:numFmt w:val="lowerLetter"/>
      <w:lvlText w:val="%5."/>
      <w:lvlJc w:val="left"/>
      <w:pPr>
        <w:ind w:left="4354" w:hanging="360"/>
      </w:pPr>
    </w:lvl>
    <w:lvl w:ilvl="5" w:tplc="041B001B" w:tentative="1">
      <w:start w:val="1"/>
      <w:numFmt w:val="lowerRoman"/>
      <w:lvlText w:val="%6."/>
      <w:lvlJc w:val="right"/>
      <w:pPr>
        <w:ind w:left="5074" w:hanging="180"/>
      </w:pPr>
    </w:lvl>
    <w:lvl w:ilvl="6" w:tplc="041B000F" w:tentative="1">
      <w:start w:val="1"/>
      <w:numFmt w:val="decimal"/>
      <w:lvlText w:val="%7."/>
      <w:lvlJc w:val="left"/>
      <w:pPr>
        <w:ind w:left="5794" w:hanging="360"/>
      </w:pPr>
    </w:lvl>
    <w:lvl w:ilvl="7" w:tplc="041B0019" w:tentative="1">
      <w:start w:val="1"/>
      <w:numFmt w:val="lowerLetter"/>
      <w:lvlText w:val="%8."/>
      <w:lvlJc w:val="left"/>
      <w:pPr>
        <w:ind w:left="6514" w:hanging="360"/>
      </w:pPr>
    </w:lvl>
    <w:lvl w:ilvl="8" w:tplc="041B001B" w:tentative="1">
      <w:start w:val="1"/>
      <w:numFmt w:val="lowerRoman"/>
      <w:lvlText w:val="%9."/>
      <w:lvlJc w:val="right"/>
      <w:pPr>
        <w:ind w:left="7234" w:hanging="180"/>
      </w:pPr>
    </w:lvl>
  </w:abstractNum>
  <w:abstractNum w:abstractNumId="1" w15:restartNumberingAfterBreak="0">
    <w:nsid w:val="1C774077"/>
    <w:multiLevelType w:val="hybridMultilevel"/>
    <w:tmpl w:val="8DC09A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37C40F66"/>
    <w:multiLevelType w:val="hybridMultilevel"/>
    <w:tmpl w:val="065E9BC6"/>
    <w:lvl w:ilvl="0" w:tplc="C888C6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54BD8"/>
    <w:multiLevelType w:val="hybridMultilevel"/>
    <w:tmpl w:val="744E5B9C"/>
    <w:lvl w:ilvl="0" w:tplc="3914433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71BF1"/>
    <w:multiLevelType w:val="hybridMultilevel"/>
    <w:tmpl w:val="877299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B3AB1"/>
    <w:multiLevelType w:val="hybridMultilevel"/>
    <w:tmpl w:val="26EE0020"/>
    <w:lvl w:ilvl="0" w:tplc="377E58A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C2C02"/>
    <w:multiLevelType w:val="hybridMultilevel"/>
    <w:tmpl w:val="D682DD42"/>
    <w:lvl w:ilvl="0" w:tplc="9EF822E4">
      <w:start w:val="1"/>
      <w:numFmt w:val="upperLetter"/>
      <w:lvlText w:val="%1)"/>
      <w:lvlJc w:val="left"/>
      <w:pPr>
        <w:ind w:left="375" w:hanging="360"/>
      </w:pPr>
      <w:rPr>
        <w:rFonts w:hint="default"/>
      </w:rPr>
    </w:lvl>
    <w:lvl w:ilvl="1" w:tplc="041B0019" w:tentative="1">
      <w:start w:val="1"/>
      <w:numFmt w:val="lowerLetter"/>
      <w:lvlText w:val="%2."/>
      <w:lvlJc w:val="left"/>
      <w:pPr>
        <w:ind w:left="1095" w:hanging="360"/>
      </w:pPr>
    </w:lvl>
    <w:lvl w:ilvl="2" w:tplc="041B001B" w:tentative="1">
      <w:start w:val="1"/>
      <w:numFmt w:val="lowerRoman"/>
      <w:lvlText w:val="%3."/>
      <w:lvlJc w:val="right"/>
      <w:pPr>
        <w:ind w:left="1815" w:hanging="180"/>
      </w:pPr>
    </w:lvl>
    <w:lvl w:ilvl="3" w:tplc="041B000F" w:tentative="1">
      <w:start w:val="1"/>
      <w:numFmt w:val="decimal"/>
      <w:lvlText w:val="%4."/>
      <w:lvlJc w:val="left"/>
      <w:pPr>
        <w:ind w:left="2535" w:hanging="360"/>
      </w:pPr>
    </w:lvl>
    <w:lvl w:ilvl="4" w:tplc="041B0019" w:tentative="1">
      <w:start w:val="1"/>
      <w:numFmt w:val="lowerLetter"/>
      <w:lvlText w:val="%5."/>
      <w:lvlJc w:val="left"/>
      <w:pPr>
        <w:ind w:left="3255" w:hanging="360"/>
      </w:pPr>
    </w:lvl>
    <w:lvl w:ilvl="5" w:tplc="041B001B" w:tentative="1">
      <w:start w:val="1"/>
      <w:numFmt w:val="lowerRoman"/>
      <w:lvlText w:val="%6."/>
      <w:lvlJc w:val="right"/>
      <w:pPr>
        <w:ind w:left="3975" w:hanging="180"/>
      </w:pPr>
    </w:lvl>
    <w:lvl w:ilvl="6" w:tplc="041B000F" w:tentative="1">
      <w:start w:val="1"/>
      <w:numFmt w:val="decimal"/>
      <w:lvlText w:val="%7."/>
      <w:lvlJc w:val="left"/>
      <w:pPr>
        <w:ind w:left="4695" w:hanging="360"/>
      </w:pPr>
    </w:lvl>
    <w:lvl w:ilvl="7" w:tplc="041B0019" w:tentative="1">
      <w:start w:val="1"/>
      <w:numFmt w:val="lowerLetter"/>
      <w:lvlText w:val="%8."/>
      <w:lvlJc w:val="left"/>
      <w:pPr>
        <w:ind w:left="5415" w:hanging="360"/>
      </w:pPr>
    </w:lvl>
    <w:lvl w:ilvl="8" w:tplc="041B001B" w:tentative="1">
      <w:start w:val="1"/>
      <w:numFmt w:val="lowerRoman"/>
      <w:lvlText w:val="%9."/>
      <w:lvlJc w:val="right"/>
      <w:pPr>
        <w:ind w:left="6135" w:hanging="180"/>
      </w:pPr>
    </w:lvl>
  </w:abstractNum>
  <w:abstractNum w:abstractNumId="7" w15:restartNumberingAfterBreak="0">
    <w:nsid w:val="4F070CC0"/>
    <w:multiLevelType w:val="hybridMultilevel"/>
    <w:tmpl w:val="72B64612"/>
    <w:lvl w:ilvl="0" w:tplc="BA8E82DA">
      <w:start w:val="1"/>
      <w:numFmt w:val="bullet"/>
      <w:lvlText w:val="-"/>
      <w:lvlJc w:val="left"/>
      <w:pPr>
        <w:ind w:left="502" w:hanging="360"/>
      </w:pPr>
      <w:rPr>
        <w:rFonts w:ascii="Arial" w:eastAsia="Times New Roman"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8" w15:restartNumberingAfterBreak="0">
    <w:nsid w:val="532D3D95"/>
    <w:multiLevelType w:val="hybridMultilevel"/>
    <w:tmpl w:val="2FB6EA0A"/>
    <w:lvl w:ilvl="0" w:tplc="041B0015">
      <w:start w:val="1"/>
      <w:numFmt w:val="upperLetter"/>
      <w:lvlText w:val="%1."/>
      <w:lvlJc w:val="left"/>
      <w:pPr>
        <w:ind w:left="394" w:hanging="360"/>
      </w:pPr>
      <w:rPr>
        <w:rFonts w:hint="default"/>
      </w:rPr>
    </w:lvl>
    <w:lvl w:ilvl="1" w:tplc="041B0019">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9" w15:restartNumberingAfterBreak="0">
    <w:nsid w:val="6DC90BB5"/>
    <w:multiLevelType w:val="hybridMultilevel"/>
    <w:tmpl w:val="F472634C"/>
    <w:lvl w:ilvl="0" w:tplc="1358988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7"/>
  </w:num>
  <w:num w:numId="5">
    <w:abstractNumId w:val="2"/>
  </w:num>
  <w:num w:numId="6">
    <w:abstractNumId w:val="3"/>
  </w:num>
  <w:num w:numId="7">
    <w:abstractNumId w:val="5"/>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38"/>
    <w:rsid w:val="00043E2B"/>
    <w:rsid w:val="00047F01"/>
    <w:rsid w:val="0005286D"/>
    <w:rsid w:val="0005630B"/>
    <w:rsid w:val="0006401E"/>
    <w:rsid w:val="000C47D8"/>
    <w:rsid w:val="00141F89"/>
    <w:rsid w:val="0014657B"/>
    <w:rsid w:val="00146FEF"/>
    <w:rsid w:val="0015039B"/>
    <w:rsid w:val="00171F01"/>
    <w:rsid w:val="001740FF"/>
    <w:rsid w:val="001A1F44"/>
    <w:rsid w:val="001D4875"/>
    <w:rsid w:val="001E63B4"/>
    <w:rsid w:val="001F4E39"/>
    <w:rsid w:val="002152CC"/>
    <w:rsid w:val="00252C84"/>
    <w:rsid w:val="00271715"/>
    <w:rsid w:val="00297F89"/>
    <w:rsid w:val="002B2CC6"/>
    <w:rsid w:val="002F3905"/>
    <w:rsid w:val="003028A8"/>
    <w:rsid w:val="003838F5"/>
    <w:rsid w:val="003852D7"/>
    <w:rsid w:val="00392766"/>
    <w:rsid w:val="003D1468"/>
    <w:rsid w:val="003D4A40"/>
    <w:rsid w:val="003F24C7"/>
    <w:rsid w:val="00413455"/>
    <w:rsid w:val="00460EE4"/>
    <w:rsid w:val="00471D67"/>
    <w:rsid w:val="004875CC"/>
    <w:rsid w:val="004D0BD0"/>
    <w:rsid w:val="004E3435"/>
    <w:rsid w:val="004F13D2"/>
    <w:rsid w:val="0050643C"/>
    <w:rsid w:val="00533D58"/>
    <w:rsid w:val="005E08E3"/>
    <w:rsid w:val="005E47AB"/>
    <w:rsid w:val="006036B6"/>
    <w:rsid w:val="00610DD8"/>
    <w:rsid w:val="006466CF"/>
    <w:rsid w:val="006668B1"/>
    <w:rsid w:val="00667574"/>
    <w:rsid w:val="006708EC"/>
    <w:rsid w:val="006A0B37"/>
    <w:rsid w:val="006D67D7"/>
    <w:rsid w:val="007051B2"/>
    <w:rsid w:val="00707A3C"/>
    <w:rsid w:val="00714572"/>
    <w:rsid w:val="00757DDE"/>
    <w:rsid w:val="00771876"/>
    <w:rsid w:val="007C42C0"/>
    <w:rsid w:val="007C5A03"/>
    <w:rsid w:val="007E1443"/>
    <w:rsid w:val="00800D32"/>
    <w:rsid w:val="008222CB"/>
    <w:rsid w:val="00823138"/>
    <w:rsid w:val="0082337B"/>
    <w:rsid w:val="00895869"/>
    <w:rsid w:val="008D041A"/>
    <w:rsid w:val="008E31E5"/>
    <w:rsid w:val="009001A0"/>
    <w:rsid w:val="00910704"/>
    <w:rsid w:val="00914852"/>
    <w:rsid w:val="009279F2"/>
    <w:rsid w:val="009471D1"/>
    <w:rsid w:val="00956449"/>
    <w:rsid w:val="00970B4F"/>
    <w:rsid w:val="009E1BCB"/>
    <w:rsid w:val="009F7DA1"/>
    <w:rsid w:val="00A02133"/>
    <w:rsid w:val="00A42F1D"/>
    <w:rsid w:val="00A44267"/>
    <w:rsid w:val="00A54EA7"/>
    <w:rsid w:val="00A763FE"/>
    <w:rsid w:val="00A94192"/>
    <w:rsid w:val="00AD5960"/>
    <w:rsid w:val="00AE6ACA"/>
    <w:rsid w:val="00B148AB"/>
    <w:rsid w:val="00B17C52"/>
    <w:rsid w:val="00B45901"/>
    <w:rsid w:val="00B77FA2"/>
    <w:rsid w:val="00B934C6"/>
    <w:rsid w:val="00B9747E"/>
    <w:rsid w:val="00BC20A9"/>
    <w:rsid w:val="00BD5A64"/>
    <w:rsid w:val="00BE1E3C"/>
    <w:rsid w:val="00BE2B29"/>
    <w:rsid w:val="00BE755A"/>
    <w:rsid w:val="00C26F31"/>
    <w:rsid w:val="00C348E7"/>
    <w:rsid w:val="00C400A7"/>
    <w:rsid w:val="00C4386E"/>
    <w:rsid w:val="00C60AF9"/>
    <w:rsid w:val="00CE2763"/>
    <w:rsid w:val="00CE7A7C"/>
    <w:rsid w:val="00CF2D6B"/>
    <w:rsid w:val="00D27F1C"/>
    <w:rsid w:val="00D31D5A"/>
    <w:rsid w:val="00D374C6"/>
    <w:rsid w:val="00D42BE6"/>
    <w:rsid w:val="00D51492"/>
    <w:rsid w:val="00D617A6"/>
    <w:rsid w:val="00D618CD"/>
    <w:rsid w:val="00D61B92"/>
    <w:rsid w:val="00D72A32"/>
    <w:rsid w:val="00D9289A"/>
    <w:rsid w:val="00D93866"/>
    <w:rsid w:val="00DB1C2E"/>
    <w:rsid w:val="00DE7C6E"/>
    <w:rsid w:val="00E01904"/>
    <w:rsid w:val="00E27098"/>
    <w:rsid w:val="00E43799"/>
    <w:rsid w:val="00E555BC"/>
    <w:rsid w:val="00E560E2"/>
    <w:rsid w:val="00EB5DA8"/>
    <w:rsid w:val="00EB78B1"/>
    <w:rsid w:val="00ED295C"/>
    <w:rsid w:val="00EE577F"/>
    <w:rsid w:val="00EF62E2"/>
    <w:rsid w:val="00F3118B"/>
    <w:rsid w:val="00F66538"/>
    <w:rsid w:val="00F7343A"/>
    <w:rsid w:val="00FB6D9C"/>
    <w:rsid w:val="00FE30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BC7E"/>
  <w15:chartTrackingRefBased/>
  <w15:docId w15:val="{6F6A0393-646E-4243-9765-ABB11F03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7A6"/>
    <w:rPr>
      <w:color w:val="0563C1"/>
      <w:u w:val="single"/>
    </w:rPr>
  </w:style>
  <w:style w:type="paragraph" w:customStyle="1" w:styleId="wordsection1">
    <w:name w:val="wordsection1"/>
    <w:basedOn w:val="Normlny"/>
    <w:uiPriority w:val="99"/>
    <w:rsid w:val="00D617A6"/>
    <w:pPr>
      <w:spacing w:after="0" w:line="240" w:lineRule="auto"/>
    </w:pPr>
    <w:rPr>
      <w:rFonts w:ascii="Times New Roman" w:hAnsi="Times New Roman" w:cs="Times New Roman"/>
      <w:sz w:val="24"/>
      <w:szCs w:val="24"/>
      <w:lang w:val="en-US"/>
    </w:rPr>
  </w:style>
  <w:style w:type="paragraph" w:styleId="Textbubliny">
    <w:name w:val="Balloon Text"/>
    <w:basedOn w:val="Normlny"/>
    <w:link w:val="TextbublinyChar"/>
    <w:uiPriority w:val="99"/>
    <w:semiHidden/>
    <w:unhideWhenUsed/>
    <w:rsid w:val="00BE1E3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E1E3C"/>
    <w:rPr>
      <w:rFonts w:ascii="Segoe UI" w:hAnsi="Segoe UI" w:cs="Segoe UI"/>
      <w:noProof/>
      <w:sz w:val="18"/>
      <w:szCs w:val="18"/>
    </w:rPr>
  </w:style>
  <w:style w:type="character" w:styleId="Odkaznakomentr">
    <w:name w:val="annotation reference"/>
    <w:basedOn w:val="Predvolenpsmoodseku"/>
    <w:uiPriority w:val="99"/>
    <w:semiHidden/>
    <w:unhideWhenUsed/>
    <w:rsid w:val="00BE1E3C"/>
    <w:rPr>
      <w:sz w:val="16"/>
      <w:szCs w:val="16"/>
    </w:rPr>
  </w:style>
  <w:style w:type="paragraph" w:styleId="Textkomentra">
    <w:name w:val="annotation text"/>
    <w:basedOn w:val="Normlny"/>
    <w:link w:val="TextkomentraChar"/>
    <w:uiPriority w:val="99"/>
    <w:unhideWhenUsed/>
    <w:rsid w:val="00BE1E3C"/>
    <w:pPr>
      <w:spacing w:line="240" w:lineRule="auto"/>
    </w:pPr>
    <w:rPr>
      <w:sz w:val="20"/>
      <w:szCs w:val="20"/>
    </w:rPr>
  </w:style>
  <w:style w:type="character" w:customStyle="1" w:styleId="TextkomentraChar">
    <w:name w:val="Text komentára Char"/>
    <w:basedOn w:val="Predvolenpsmoodseku"/>
    <w:link w:val="Textkomentra"/>
    <w:uiPriority w:val="99"/>
    <w:rsid w:val="00BE1E3C"/>
    <w:rPr>
      <w:noProof/>
      <w:sz w:val="20"/>
      <w:szCs w:val="20"/>
    </w:rPr>
  </w:style>
  <w:style w:type="paragraph" w:styleId="Predmetkomentra">
    <w:name w:val="annotation subject"/>
    <w:basedOn w:val="Textkomentra"/>
    <w:next w:val="Textkomentra"/>
    <w:link w:val="PredmetkomentraChar"/>
    <w:uiPriority w:val="99"/>
    <w:semiHidden/>
    <w:unhideWhenUsed/>
    <w:rsid w:val="00BE1E3C"/>
    <w:rPr>
      <w:b/>
      <w:bCs/>
    </w:rPr>
  </w:style>
  <w:style w:type="character" w:customStyle="1" w:styleId="PredmetkomentraChar">
    <w:name w:val="Predmet komentára Char"/>
    <w:basedOn w:val="TextkomentraChar"/>
    <w:link w:val="Predmetkomentra"/>
    <w:uiPriority w:val="99"/>
    <w:semiHidden/>
    <w:rsid w:val="00BE1E3C"/>
    <w:rPr>
      <w:b/>
      <w:bCs/>
      <w:noProof/>
      <w:sz w:val="20"/>
      <w:szCs w:val="20"/>
    </w:rPr>
  </w:style>
  <w:style w:type="character" w:customStyle="1" w:styleId="OdsekzoznamuChar">
    <w:name w:val="Odsek zoznamu Char"/>
    <w:aliases w:val="body Char,Odsek zoznamu2 Char,Odsek zoznamu1 Char,Listenabsatz Char,List Paragraph Char,Odsek Char,Lettre d'introduction Char,Paragrafo elenco Char,1st level - Bullet List Paragraph Char,Odražka 1 Char,Odsek zoznamu21 Char,Dot pt Char"/>
    <w:link w:val="Odsekzoznamu"/>
    <w:uiPriority w:val="99"/>
    <w:qFormat/>
    <w:locked/>
    <w:rsid w:val="00A02133"/>
    <w:rPr>
      <w:rFonts w:ascii="Calibri" w:hAnsi="Calibri" w:cs="Calibri"/>
    </w:rPr>
  </w:style>
  <w:style w:type="paragraph" w:styleId="Odsekzoznamu">
    <w:name w:val="List Paragraph"/>
    <w:aliases w:val="body,Odsek zoznamu2,Odsek zoznamu1,Listenabsatz,List Paragraph,Odsek,Lettre d'introduction,Paragrafo elenco,1st level - Bullet List Paragraph,Odražka 1,Odsek zoznamu21,List Paragraph1,Colorful List - Accent 11,Dot pt,F5 List Paragraph"/>
    <w:basedOn w:val="Normlny"/>
    <w:link w:val="OdsekzoznamuChar"/>
    <w:uiPriority w:val="99"/>
    <w:qFormat/>
    <w:rsid w:val="00A02133"/>
    <w:pPr>
      <w:spacing w:after="0" w:line="240" w:lineRule="auto"/>
      <w:ind w:left="720"/>
      <w:contextualSpacing/>
    </w:pPr>
    <w:rPr>
      <w:rFonts w:ascii="Calibri" w:hAnsi="Calibri" w:cs="Calibri"/>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qFormat/>
    <w:rsid w:val="00914852"/>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qFormat/>
    <w:rsid w:val="00914852"/>
    <w:rPr>
      <w:rFonts w:ascii="Times New Roman" w:eastAsia="Times New Roman" w:hAnsi="Times New Roman" w:cs="Times New Roman"/>
      <w:sz w:val="18"/>
      <w:szCs w:val="20"/>
    </w:r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E,S"/>
    <w:link w:val="Char2"/>
    <w:uiPriority w:val="99"/>
    <w:qFormat/>
    <w:rsid w:val="00914852"/>
    <w:rPr>
      <w:vertAlign w:val="superscript"/>
    </w:rPr>
  </w:style>
  <w:style w:type="paragraph" w:customStyle="1" w:styleId="Char2">
    <w:name w:val="Char2"/>
    <w:basedOn w:val="Normlny"/>
    <w:link w:val="Odkaznapoznmkupodiarou"/>
    <w:uiPriority w:val="99"/>
    <w:qFormat/>
    <w:rsid w:val="00914852"/>
    <w:pPr>
      <w:spacing w:line="240" w:lineRule="exact"/>
    </w:pPr>
    <w:rPr>
      <w:vertAlign w:val="superscript"/>
    </w:rPr>
  </w:style>
  <w:style w:type="paragraph" w:styleId="Hlavika">
    <w:name w:val="header"/>
    <w:basedOn w:val="Normlny"/>
    <w:link w:val="HlavikaChar"/>
    <w:uiPriority w:val="99"/>
    <w:unhideWhenUsed/>
    <w:rsid w:val="00141F89"/>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141F89"/>
  </w:style>
  <w:style w:type="paragraph" w:styleId="Pta">
    <w:name w:val="footer"/>
    <w:basedOn w:val="Normlny"/>
    <w:link w:val="PtaChar"/>
    <w:uiPriority w:val="99"/>
    <w:unhideWhenUsed/>
    <w:rsid w:val="00141F89"/>
    <w:pPr>
      <w:tabs>
        <w:tab w:val="center" w:pos="4703"/>
        <w:tab w:val="right" w:pos="9406"/>
      </w:tabs>
      <w:spacing w:after="0" w:line="240" w:lineRule="auto"/>
    </w:pPr>
  </w:style>
  <w:style w:type="character" w:customStyle="1" w:styleId="PtaChar">
    <w:name w:val="Päta Char"/>
    <w:basedOn w:val="Predvolenpsmoodseku"/>
    <w:link w:val="Pta"/>
    <w:uiPriority w:val="99"/>
    <w:rsid w:val="0014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80217">
      <w:bodyDiv w:val="1"/>
      <w:marLeft w:val="0"/>
      <w:marRight w:val="0"/>
      <w:marTop w:val="0"/>
      <w:marBottom w:val="0"/>
      <w:divBdr>
        <w:top w:val="none" w:sz="0" w:space="0" w:color="auto"/>
        <w:left w:val="none" w:sz="0" w:space="0" w:color="auto"/>
        <w:bottom w:val="none" w:sz="0" w:space="0" w:color="auto"/>
        <w:right w:val="none" w:sz="0" w:space="0" w:color="auto"/>
      </w:divBdr>
    </w:div>
    <w:div w:id="720372795">
      <w:bodyDiv w:val="1"/>
      <w:marLeft w:val="0"/>
      <w:marRight w:val="0"/>
      <w:marTop w:val="0"/>
      <w:marBottom w:val="0"/>
      <w:divBdr>
        <w:top w:val="none" w:sz="0" w:space="0" w:color="auto"/>
        <w:left w:val="none" w:sz="0" w:space="0" w:color="auto"/>
        <w:bottom w:val="none" w:sz="0" w:space="0" w:color="auto"/>
        <w:right w:val="none" w:sz="0" w:space="0" w:color="auto"/>
      </w:divBdr>
    </w:div>
    <w:div w:id="959070507">
      <w:bodyDiv w:val="1"/>
      <w:marLeft w:val="0"/>
      <w:marRight w:val="0"/>
      <w:marTop w:val="0"/>
      <w:marBottom w:val="0"/>
      <w:divBdr>
        <w:top w:val="none" w:sz="0" w:space="0" w:color="auto"/>
        <w:left w:val="none" w:sz="0" w:space="0" w:color="auto"/>
        <w:bottom w:val="none" w:sz="0" w:space="0" w:color="auto"/>
        <w:right w:val="none" w:sz="0" w:space="0" w:color="auto"/>
      </w:divBdr>
    </w:div>
    <w:div w:id="1304892739">
      <w:bodyDiv w:val="1"/>
      <w:marLeft w:val="0"/>
      <w:marRight w:val="0"/>
      <w:marTop w:val="0"/>
      <w:marBottom w:val="0"/>
      <w:divBdr>
        <w:top w:val="none" w:sz="0" w:space="0" w:color="auto"/>
        <w:left w:val="none" w:sz="0" w:space="0" w:color="auto"/>
        <w:bottom w:val="none" w:sz="0" w:space="0" w:color="auto"/>
        <w:right w:val="none" w:sz="0" w:space="0" w:color="auto"/>
      </w:divBdr>
    </w:div>
    <w:div w:id="1792631043">
      <w:bodyDiv w:val="1"/>
      <w:marLeft w:val="0"/>
      <w:marRight w:val="0"/>
      <w:marTop w:val="0"/>
      <w:marBottom w:val="0"/>
      <w:divBdr>
        <w:top w:val="none" w:sz="0" w:space="0" w:color="auto"/>
        <w:left w:val="none" w:sz="0" w:space="0" w:color="auto"/>
        <w:bottom w:val="none" w:sz="0" w:space="0" w:color="auto"/>
        <w:right w:val="none" w:sz="0" w:space="0" w:color="auto"/>
      </w:divBdr>
    </w:div>
    <w:div w:id="1916016768">
      <w:bodyDiv w:val="1"/>
      <w:marLeft w:val="0"/>
      <w:marRight w:val="0"/>
      <w:marTop w:val="0"/>
      <w:marBottom w:val="0"/>
      <w:divBdr>
        <w:top w:val="none" w:sz="0" w:space="0" w:color="auto"/>
        <w:left w:val="none" w:sz="0" w:space="0" w:color="auto"/>
        <w:bottom w:val="none" w:sz="0" w:space="0" w:color="auto"/>
        <w:right w:val="none" w:sz="0" w:space="0" w:color="auto"/>
      </w:divBdr>
    </w:div>
    <w:div w:id="19502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1DD2E-AFC0-4915-BD08-637F7F40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1978</Words>
  <Characters>11279</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Hrušková Miroslava</dc:creator>
  <cp:keywords/>
  <dc:description/>
  <cp:lastModifiedBy>Hrušková Miroslava</cp:lastModifiedBy>
  <cp:revision>15</cp:revision>
  <cp:lastPrinted>2023-07-04T08:28:00Z</cp:lastPrinted>
  <dcterms:created xsi:type="dcterms:W3CDTF">2023-07-12T07:08:00Z</dcterms:created>
  <dcterms:modified xsi:type="dcterms:W3CDTF">2023-07-12T10:26:00Z</dcterms:modified>
</cp:coreProperties>
</file>