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14F2E" w14:textId="77777777" w:rsidR="00B25D85" w:rsidRPr="0035354E" w:rsidRDefault="00B25D85" w:rsidP="002B5CEE">
      <w:pPr>
        <w:pStyle w:val="wordsection1"/>
        <w:spacing w:after="120"/>
        <w:ind w:right="-284"/>
        <w:jc w:val="center"/>
        <w:rPr>
          <w:bCs/>
          <w:color w:val="000000"/>
          <w:lang w:val="sk-SK"/>
        </w:rPr>
      </w:pPr>
      <w:bookmarkStart w:id="0" w:name="_GoBack"/>
      <w:bookmarkEnd w:id="0"/>
      <w:r w:rsidRPr="0035354E">
        <w:rPr>
          <w:bCs/>
          <w:color w:val="000000"/>
          <w:lang w:val="sk-SK"/>
        </w:rPr>
        <w:t>PRE INFORMÁCIU</w:t>
      </w:r>
    </w:p>
    <w:p w14:paraId="0A0783C3" w14:textId="77777777" w:rsidR="00B25D85" w:rsidRPr="0035354E" w:rsidRDefault="00B25D85" w:rsidP="002B5CEE">
      <w:pPr>
        <w:pStyle w:val="wordsection1"/>
        <w:spacing w:after="120"/>
        <w:ind w:right="-284"/>
        <w:jc w:val="both"/>
        <w:rPr>
          <w:b/>
          <w:bCs/>
          <w:color w:val="000000"/>
          <w:lang w:val="sk-SK"/>
        </w:rPr>
      </w:pPr>
      <w:r w:rsidRPr="0035354E">
        <w:rPr>
          <w:b/>
          <w:bCs/>
          <w:color w:val="000000"/>
          <w:lang w:val="sk-SK"/>
        </w:rPr>
        <w:t>Odpoveď na pripomienky Európskej komisie predložené a prerokované na Komisii pri Monitorovacom výbore pre Program Slovensko 2021-2027 pre cieľ 2 politiky súdržnosti EÚ</w:t>
      </w:r>
    </w:p>
    <w:p w14:paraId="1E8C7E69" w14:textId="02C29966" w:rsidR="009152F3" w:rsidRPr="0035354E" w:rsidRDefault="009152F3" w:rsidP="002B5CEE">
      <w:pPr>
        <w:spacing w:after="0" w:line="240" w:lineRule="auto"/>
        <w:ind w:right="-284"/>
        <w:jc w:val="both"/>
        <w:rPr>
          <w:rFonts w:ascii="Times New Roman" w:eastAsia="Calibri" w:hAnsi="Times New Roman" w:cs="Times New Roman"/>
          <w:bCs/>
          <w:color w:val="000000"/>
          <w:sz w:val="24"/>
          <w:szCs w:val="24"/>
        </w:rPr>
      </w:pPr>
      <w:r w:rsidRPr="0035354E">
        <w:rPr>
          <w:rFonts w:ascii="Times New Roman" w:eastAsia="Calibri" w:hAnsi="Times New Roman" w:cs="Times New Roman"/>
          <w:bCs/>
          <w:color w:val="000000"/>
          <w:sz w:val="24"/>
          <w:szCs w:val="24"/>
        </w:rPr>
        <w:t xml:space="preserve">k návrhu </w:t>
      </w:r>
      <w:r w:rsidRPr="0035354E">
        <w:rPr>
          <w:rFonts w:ascii="Times New Roman" w:eastAsia="Calibri" w:hAnsi="Times New Roman" w:cs="Times New Roman"/>
          <w:b/>
          <w:bCs/>
          <w:i/>
          <w:color w:val="000000"/>
          <w:sz w:val="24"/>
          <w:szCs w:val="24"/>
        </w:rPr>
        <w:t>Hodnotiacich a výberových kritérií projekto</w:t>
      </w:r>
      <w:r w:rsidRPr="0035354E">
        <w:rPr>
          <w:rFonts w:ascii="Times New Roman" w:eastAsia="Calibri" w:hAnsi="Times New Roman" w:cs="Times New Roman"/>
          <w:bCs/>
          <w:color w:val="000000"/>
          <w:sz w:val="24"/>
          <w:szCs w:val="24"/>
        </w:rPr>
        <w:t xml:space="preserve">v pre </w:t>
      </w:r>
      <w:r w:rsidRPr="0035354E">
        <w:rPr>
          <w:rFonts w:ascii="Times New Roman" w:eastAsia="Calibri" w:hAnsi="Times New Roman" w:cs="Times New Roman"/>
          <w:b/>
          <w:bCs/>
          <w:i/>
          <w:color w:val="000000"/>
          <w:sz w:val="24"/>
          <w:szCs w:val="24"/>
        </w:rPr>
        <w:t xml:space="preserve">opatrenie 2.5.4 Výstavba verejných vodovodov v obciach nad 2000 obyvateľov a v obciach do 2000 obyvateľov mimo dobiehajúcich regiónov za podmienky súbežnej výstavy alebo existencie infraštruktúry na nakladanie </w:t>
      </w:r>
      <w:r w:rsidR="002B5CEE" w:rsidRPr="0035354E">
        <w:rPr>
          <w:rFonts w:ascii="Times New Roman" w:eastAsia="Calibri" w:hAnsi="Times New Roman" w:cs="Times New Roman"/>
          <w:b/>
          <w:bCs/>
          <w:i/>
          <w:color w:val="000000"/>
          <w:sz w:val="24"/>
          <w:szCs w:val="24"/>
        </w:rPr>
        <w:br/>
      </w:r>
      <w:r w:rsidRPr="0035354E">
        <w:rPr>
          <w:rFonts w:ascii="Times New Roman" w:eastAsia="Calibri" w:hAnsi="Times New Roman" w:cs="Times New Roman"/>
          <w:b/>
          <w:bCs/>
          <w:i/>
          <w:color w:val="000000"/>
          <w:sz w:val="24"/>
          <w:szCs w:val="24"/>
        </w:rPr>
        <w:t>s odpadovými vodami</w:t>
      </w:r>
      <w:r w:rsidRPr="0035354E">
        <w:rPr>
          <w:rFonts w:ascii="Times New Roman" w:eastAsia="Calibri" w:hAnsi="Times New Roman" w:cs="Times New Roman"/>
          <w:bCs/>
          <w:color w:val="000000"/>
          <w:sz w:val="24"/>
          <w:szCs w:val="24"/>
        </w:rPr>
        <w:t xml:space="preserve"> </w:t>
      </w:r>
    </w:p>
    <w:p w14:paraId="22F2041D" w14:textId="262F2262" w:rsidR="009152F3" w:rsidRPr="0035354E" w:rsidRDefault="009152F3" w:rsidP="00ED295C">
      <w:pPr>
        <w:pStyle w:val="wordsection1"/>
        <w:jc w:val="both"/>
        <w:rPr>
          <w:rFonts w:ascii="Calibri" w:hAnsi="Calibri" w:cs="Calibri"/>
          <w:color w:val="000000"/>
          <w:sz w:val="22"/>
          <w:szCs w:val="22"/>
          <w:lang w:val="sk-SK"/>
        </w:rPr>
      </w:pPr>
    </w:p>
    <w:p w14:paraId="2A48CB9B" w14:textId="6CE4A180" w:rsidR="009152F3" w:rsidRPr="0035354E" w:rsidRDefault="00B25D85" w:rsidP="00ED295C">
      <w:pPr>
        <w:pStyle w:val="wordsection1"/>
        <w:jc w:val="both"/>
        <w:rPr>
          <w:color w:val="000000"/>
          <w:lang w:val="sk-SK"/>
        </w:rPr>
      </w:pPr>
      <w:r w:rsidRPr="0035354E">
        <w:rPr>
          <w:color w:val="000000"/>
          <w:lang w:val="sk-SK"/>
        </w:rPr>
        <w:t>Pripomienka EK:</w:t>
      </w:r>
    </w:p>
    <w:p w14:paraId="4B11C7C1" w14:textId="77777777" w:rsidR="00D617A6" w:rsidRPr="0035354E" w:rsidRDefault="00D617A6" w:rsidP="00ED295C">
      <w:pPr>
        <w:pStyle w:val="wordsection1"/>
        <w:jc w:val="both"/>
        <w:rPr>
          <w:rFonts w:ascii="Calibri" w:hAnsi="Calibri" w:cs="Calibri"/>
          <w:b/>
          <w:color w:val="000000"/>
          <w:sz w:val="22"/>
          <w:szCs w:val="22"/>
          <w:u w:val="single"/>
          <w:lang w:val="sk-SK"/>
        </w:rPr>
      </w:pPr>
      <w:r w:rsidRPr="0035354E">
        <w:rPr>
          <w:b/>
          <w:color w:val="000000"/>
          <w:u w:val="single"/>
          <w:lang w:val="sk-SK"/>
        </w:rPr>
        <w:t>2.5.4 Access to water and sustainable water management</w:t>
      </w:r>
    </w:p>
    <w:p w14:paraId="0429244A" w14:textId="5C64B2CD" w:rsidR="00D617A6" w:rsidRPr="0035354E" w:rsidRDefault="00D617A6" w:rsidP="00B45901">
      <w:pPr>
        <w:pStyle w:val="wordsection1"/>
        <w:spacing w:after="240"/>
        <w:jc w:val="both"/>
        <w:rPr>
          <w:color w:val="000000"/>
          <w:lang w:val="sk-SK"/>
        </w:rPr>
      </w:pPr>
      <w:r w:rsidRPr="0035354E">
        <w:rPr>
          <w:color w:val="000000"/>
          <w:lang w:val="sk-SK"/>
        </w:rPr>
        <w:t xml:space="preserve">It appears that this measure completely lacks any prioritisation with the exception of the value for money selection criterion. In our understanding the support should prioritise the needs, in particular areas prone to water scarcity (often connected with climate change – adaptation measures), problems with water quality or areas with already limited water resources.  </w:t>
      </w:r>
    </w:p>
    <w:p w14:paraId="2185C113" w14:textId="4C04A8EE" w:rsidR="00B45901" w:rsidRPr="0035354E" w:rsidRDefault="00B45901" w:rsidP="00B45901">
      <w:pPr>
        <w:pStyle w:val="wordsection1"/>
        <w:spacing w:after="120"/>
        <w:jc w:val="both"/>
        <w:rPr>
          <w:b/>
          <w:i/>
          <w:iCs/>
          <w:color w:val="2F5496" w:themeColor="accent5" w:themeShade="BF"/>
          <w:sz w:val="22"/>
          <w:szCs w:val="22"/>
          <w:lang w:val="sk-SK"/>
        </w:rPr>
      </w:pPr>
      <w:r w:rsidRPr="0035354E">
        <w:rPr>
          <w:b/>
          <w:iCs/>
          <w:color w:val="2F5496" w:themeColor="accent5" w:themeShade="BF"/>
          <w:lang w:val="sk-SK"/>
        </w:rPr>
        <w:t xml:space="preserve">Reakcia </w:t>
      </w:r>
      <w:r w:rsidR="00DA2485" w:rsidRPr="0035354E">
        <w:rPr>
          <w:b/>
          <w:iCs/>
          <w:color w:val="2F5496" w:themeColor="accent5" w:themeShade="BF"/>
          <w:lang w:val="sk-SK"/>
        </w:rPr>
        <w:t xml:space="preserve">sprostredkovateľského orgánu </w:t>
      </w:r>
      <w:r w:rsidRPr="0035354E">
        <w:rPr>
          <w:b/>
          <w:iCs/>
          <w:color w:val="2F5496" w:themeColor="accent5" w:themeShade="BF"/>
          <w:lang w:val="sk-SK"/>
        </w:rPr>
        <w:t>MŽP SR:</w:t>
      </w:r>
    </w:p>
    <w:p w14:paraId="5B8764E6" w14:textId="1DF596E0" w:rsidR="0005286D" w:rsidRPr="0035354E" w:rsidRDefault="0005286D" w:rsidP="00B45901">
      <w:pPr>
        <w:pStyle w:val="wordsection1"/>
        <w:shd w:val="clear" w:color="auto" w:fill="FFFFFF"/>
        <w:jc w:val="both"/>
        <w:rPr>
          <w:color w:val="2F5496" w:themeColor="accent5" w:themeShade="BF"/>
          <w:lang w:val="sk-SK"/>
        </w:rPr>
      </w:pPr>
      <w:r w:rsidRPr="0035354E">
        <w:rPr>
          <w:color w:val="2F5496" w:themeColor="accent5" w:themeShade="BF"/>
          <w:lang w:val="sk-SK"/>
        </w:rPr>
        <w:t xml:space="preserve">V danom prípade je cieľom podpory z Programu Slovensko umožniť súbežne s výstavbou verejnej kanalizácie aj výstavbu verejných vodovodov. Takto bol vymedzený predmet podpory   </w:t>
      </w:r>
      <w:r w:rsidR="00B45901" w:rsidRPr="0035354E">
        <w:rPr>
          <w:color w:val="2F5496" w:themeColor="accent5" w:themeShade="BF"/>
          <w:lang w:val="sk-SK"/>
        </w:rPr>
        <w:t xml:space="preserve">opatrenia 2.5.4  </w:t>
      </w:r>
      <w:r w:rsidR="00B45901" w:rsidRPr="0035354E">
        <w:rPr>
          <w:i/>
          <w:color w:val="2F5496" w:themeColor="accent5" w:themeShade="BF"/>
          <w:lang w:val="sk-SK"/>
        </w:rPr>
        <w:t>Výstavba verejných vodovodov v obciach nad 2000 obyvateľov a v obciach do 2 000 obyvateľov mimo dobiehajúcich regiónov za podmienky súbežnej výstavby alebo existencie infraštruktúry na nakladanie s komunálnymi odpadovými vodami je výstavbu verejného vodovodu</w:t>
      </w:r>
      <w:r w:rsidR="00B45901" w:rsidRPr="0035354E">
        <w:rPr>
          <w:color w:val="2F5496" w:themeColor="accent5" w:themeShade="BF"/>
          <w:lang w:val="sk-SK"/>
        </w:rPr>
        <w:t xml:space="preserve"> </w:t>
      </w:r>
      <w:r w:rsidRPr="0035354E">
        <w:rPr>
          <w:color w:val="2F5496" w:themeColor="accent5" w:themeShade="BF"/>
          <w:lang w:val="sk-SK"/>
        </w:rPr>
        <w:t>už v Programe Slovensko 2021 – 2027 v znení schválenom Európskou komisiou.</w:t>
      </w:r>
    </w:p>
    <w:p w14:paraId="234CB30C" w14:textId="67B8B8C3" w:rsidR="00B45901" w:rsidRPr="0035354E" w:rsidRDefault="00B45901" w:rsidP="0005286D">
      <w:pPr>
        <w:pStyle w:val="wordsection1"/>
        <w:shd w:val="clear" w:color="auto" w:fill="FFFFFF"/>
        <w:spacing w:after="120"/>
        <w:jc w:val="both"/>
        <w:rPr>
          <w:color w:val="2F5496" w:themeColor="accent5" w:themeShade="BF"/>
          <w:lang w:val="sk-SK"/>
        </w:rPr>
      </w:pPr>
      <w:r w:rsidRPr="0035354E">
        <w:rPr>
          <w:color w:val="2F5496" w:themeColor="accent5" w:themeShade="BF"/>
          <w:lang w:val="sk-SK"/>
        </w:rPr>
        <w:t xml:space="preserve">Dôvodom je, že z environmentálneho hľadiska je podstatné, aby nedochádzalo k výstavbe vodovodov bez toho, aby v príslušnej obci bola zároveň vybudovaná </w:t>
      </w:r>
      <w:r w:rsidR="0005286D" w:rsidRPr="0035354E">
        <w:rPr>
          <w:color w:val="2F5496" w:themeColor="accent5" w:themeShade="BF"/>
          <w:lang w:val="sk-SK"/>
        </w:rPr>
        <w:t xml:space="preserve">alebo už existovala </w:t>
      </w:r>
      <w:r w:rsidRPr="0035354E">
        <w:rPr>
          <w:color w:val="2F5496" w:themeColor="accent5" w:themeShade="BF"/>
          <w:lang w:val="sk-SK"/>
        </w:rPr>
        <w:t xml:space="preserve">infraštruktúra na nakladanie s komunálnymi odpadovými vodami, keďže verejný vodovod zvyšuje produkciu odpadových vôd tým, že narastá spotreba pitnej vody (napr. aj pri bežných domácich prácach z prania, umývania), pričom odvádzanie a čistenie odpadovej vody nie je bez prítomnosti príslušnej infraštruktúry zabezpečené. To znamená, že určujúcim faktorom výstavby verejného vodovodu (v rámci opatrenia 2.5.4) je realizácia súbežnej výstavby verejnej kanalizácie alebo preukázaná existencia infraštruktúry pre nakladanie s komunálnymi odpadovými vodami (opatrenie 2.5.1 alebo opatrenie 2.5.2). </w:t>
      </w:r>
    </w:p>
    <w:p w14:paraId="24E63079" w14:textId="0D18DE7B" w:rsidR="0005286D" w:rsidRPr="0035354E" w:rsidRDefault="0005286D" w:rsidP="00B45901">
      <w:pPr>
        <w:pStyle w:val="wordsection1"/>
        <w:shd w:val="clear" w:color="auto" w:fill="FFFFFF"/>
        <w:jc w:val="both"/>
        <w:rPr>
          <w:color w:val="2F5496" w:themeColor="accent5" w:themeShade="BF"/>
          <w:lang w:val="sk-SK"/>
        </w:rPr>
      </w:pPr>
      <w:r w:rsidRPr="0035354E">
        <w:rPr>
          <w:color w:val="2F5496" w:themeColor="accent5" w:themeShade="BF"/>
          <w:lang w:val="sk-SK"/>
        </w:rPr>
        <w:t xml:space="preserve">Aj vzhľadom na celkovú alokáciu opatrenia 2.5.4 </w:t>
      </w:r>
      <w:r w:rsidRPr="0035354E">
        <w:rPr>
          <w:i/>
          <w:color w:val="2F5496" w:themeColor="accent5" w:themeShade="BF"/>
          <w:lang w:val="sk-SK"/>
        </w:rPr>
        <w:t>Výstavba verejných vodovodov v obciach nad 2000 obyvateľov a v obciach do 2 000 obyvateľov mimo dobiehajúcich regiónov za podmienky súbežnej výstavby alebo existencie infraštruktúry na nakladanie s komunálnymi odpadovými vodami</w:t>
      </w:r>
      <w:r w:rsidRPr="0035354E">
        <w:rPr>
          <w:color w:val="2F5496" w:themeColor="accent5" w:themeShade="BF"/>
          <w:lang w:val="sk-SK"/>
        </w:rPr>
        <w:t xml:space="preserve">, ktorá predstavuje 34,28 mil. EUR nie je ambíciou komplexne riešiť zabezpečenie zásobovania obyvateľstva SR bezpečnou pitnou vodou, a to aj v kontexte rizík súvisiacich so zmenou klímy.  </w:t>
      </w:r>
    </w:p>
    <w:p w14:paraId="1E2C38A5" w14:textId="77777777" w:rsidR="00B45901" w:rsidRPr="0035354E" w:rsidRDefault="00B45901" w:rsidP="00ED295C">
      <w:pPr>
        <w:pStyle w:val="wordsection1"/>
        <w:jc w:val="both"/>
        <w:rPr>
          <w:color w:val="000000"/>
          <w:lang w:val="sk-SK"/>
        </w:rPr>
      </w:pPr>
    </w:p>
    <w:p w14:paraId="61E9BAC5" w14:textId="26326EA6" w:rsidR="00DB1C2E" w:rsidRPr="0035354E" w:rsidRDefault="00DB1C2E" w:rsidP="00DB1C2E">
      <w:pPr>
        <w:pStyle w:val="wordsection1"/>
        <w:spacing w:after="120"/>
        <w:jc w:val="both"/>
        <w:rPr>
          <w:i/>
          <w:color w:val="2F5496" w:themeColor="accent5" w:themeShade="BF"/>
          <w:lang w:val="sk-SK"/>
        </w:rPr>
      </w:pPr>
      <w:r w:rsidRPr="0035354E">
        <w:rPr>
          <w:color w:val="2F5496" w:themeColor="accent5" w:themeShade="BF"/>
          <w:lang w:val="sk-SK"/>
        </w:rPr>
        <w:t xml:space="preserve">Pre úplnosť ešte dopĺňame, že zabezpečenie prístupu k pitnej vode v dobiehajúcich regiónoch, kde je táto potreba najvypuklejšia, podporuje MIRRI SR v rámci opatrenia 2.5.5 </w:t>
      </w:r>
      <w:r w:rsidRPr="0035354E">
        <w:rPr>
          <w:i/>
          <w:color w:val="2F5496" w:themeColor="accent5" w:themeShade="BF"/>
          <w:lang w:val="sk-SK"/>
        </w:rPr>
        <w:t xml:space="preserve">Zabezpečenie prístupu k pitnej vode a nakladania s komunálnymi odpadovými vodami v obciach do 2000 EO v dobiehajúcich regiónoch. </w:t>
      </w:r>
      <w:r w:rsidRPr="0035354E">
        <w:rPr>
          <w:color w:val="2F5496" w:themeColor="accent5" w:themeShade="BF"/>
          <w:lang w:val="sk-SK"/>
        </w:rPr>
        <w:t xml:space="preserve">  </w:t>
      </w:r>
    </w:p>
    <w:p w14:paraId="4EBD29E1" w14:textId="05C9A449" w:rsidR="00B45901" w:rsidRPr="0035354E" w:rsidRDefault="00A763FE" w:rsidP="00B45901">
      <w:pPr>
        <w:pStyle w:val="wordsection1"/>
        <w:jc w:val="both"/>
        <w:rPr>
          <w:color w:val="2F5496" w:themeColor="accent5" w:themeShade="BF"/>
          <w:lang w:val="sk-SK"/>
        </w:rPr>
      </w:pPr>
      <w:r w:rsidRPr="0035354E">
        <w:rPr>
          <w:color w:val="2F5496" w:themeColor="accent5" w:themeShade="BF"/>
          <w:lang w:val="sk-SK"/>
        </w:rPr>
        <w:t xml:space="preserve">Zároveň </w:t>
      </w:r>
      <w:r w:rsidR="00B45901" w:rsidRPr="0035354E">
        <w:rPr>
          <w:color w:val="2F5496" w:themeColor="accent5" w:themeShade="BF"/>
          <w:lang w:val="sk-SK"/>
        </w:rPr>
        <w:t>je podpora výstavby vodovodov, resp. prístupu k pitnej vode komplementárne zabezpečená z národných zdro</w:t>
      </w:r>
      <w:r w:rsidR="0056499C" w:rsidRPr="0035354E">
        <w:rPr>
          <w:color w:val="2F5496" w:themeColor="accent5" w:themeShade="BF"/>
          <w:lang w:val="sk-SK"/>
        </w:rPr>
        <w:t xml:space="preserve">jov – Environmentálneho fondu. </w:t>
      </w:r>
      <w:r w:rsidRPr="0035354E">
        <w:rPr>
          <w:color w:val="2F5496" w:themeColor="accent5" w:themeShade="BF"/>
          <w:lang w:val="sk-SK"/>
        </w:rPr>
        <w:t>Na rok 2023 je na oblasť verejných vodovodov a kanalizácií z Environmentálneho fondu alokovaných 65 mil. EUR.</w:t>
      </w:r>
    </w:p>
    <w:p w14:paraId="2CEE5845" w14:textId="77777777" w:rsidR="00B45901" w:rsidRPr="0035354E" w:rsidRDefault="00B45901" w:rsidP="00ED295C">
      <w:pPr>
        <w:pStyle w:val="wordsection1"/>
        <w:jc w:val="both"/>
        <w:rPr>
          <w:rFonts w:ascii="Calibri" w:hAnsi="Calibri" w:cs="Calibri"/>
          <w:color w:val="000000"/>
          <w:sz w:val="22"/>
          <w:szCs w:val="22"/>
          <w:lang w:val="sk-SK"/>
        </w:rPr>
      </w:pPr>
    </w:p>
    <w:p w14:paraId="03D3873A" w14:textId="77777777" w:rsidR="00B25D85" w:rsidRPr="0035354E" w:rsidRDefault="00B25D85" w:rsidP="00ED295C">
      <w:pPr>
        <w:pStyle w:val="wordsection1"/>
        <w:jc w:val="both"/>
        <w:rPr>
          <w:color w:val="000000"/>
          <w:lang w:val="sk-SK"/>
        </w:rPr>
      </w:pPr>
    </w:p>
    <w:p w14:paraId="41145604" w14:textId="2296875C" w:rsidR="00B25D85" w:rsidRPr="0035354E" w:rsidRDefault="00B25D85" w:rsidP="00ED295C">
      <w:pPr>
        <w:pStyle w:val="wordsection1"/>
        <w:jc w:val="both"/>
        <w:rPr>
          <w:color w:val="000000"/>
          <w:lang w:val="sk-SK"/>
        </w:rPr>
      </w:pPr>
      <w:r w:rsidRPr="0035354E">
        <w:rPr>
          <w:color w:val="000000"/>
          <w:lang w:val="sk-SK"/>
        </w:rPr>
        <w:lastRenderedPageBreak/>
        <w:t>Pripomienka EK:</w:t>
      </w:r>
    </w:p>
    <w:p w14:paraId="3DE19475" w14:textId="14F1A238" w:rsidR="00D617A6" w:rsidRPr="0035354E" w:rsidRDefault="00D617A6" w:rsidP="00ED295C">
      <w:pPr>
        <w:pStyle w:val="wordsection1"/>
        <w:jc w:val="both"/>
        <w:rPr>
          <w:color w:val="000000"/>
          <w:lang w:val="sk-SK"/>
        </w:rPr>
      </w:pPr>
      <w:r w:rsidRPr="0035354E">
        <w:rPr>
          <w:color w:val="000000"/>
          <w:lang w:val="sk-SK"/>
        </w:rPr>
        <w:t>Furthermore, it is not clear how the compliance with the Drinking water Directive will be ensured to which SK is referring to given that there is an on-going infringement against Slovakia for non-transposition of the Drinking Water D and under which two Ordonnances Acts are yet missing to be adopted.</w:t>
      </w:r>
    </w:p>
    <w:p w14:paraId="015C0ED0" w14:textId="77777777" w:rsidR="00D617A6" w:rsidRPr="0035354E" w:rsidRDefault="00D617A6" w:rsidP="00ED295C">
      <w:pPr>
        <w:pStyle w:val="wordsection1"/>
        <w:jc w:val="both"/>
        <w:rPr>
          <w:i/>
          <w:iCs/>
          <w:color w:val="00B050"/>
          <w:sz w:val="22"/>
          <w:szCs w:val="22"/>
          <w:lang w:val="sk-SK"/>
        </w:rPr>
      </w:pPr>
    </w:p>
    <w:p w14:paraId="43B0F051" w14:textId="77777777" w:rsidR="00D617A6" w:rsidRPr="0035354E" w:rsidRDefault="00D617A6" w:rsidP="00ED295C">
      <w:pPr>
        <w:pStyle w:val="wordsection1"/>
        <w:jc w:val="both"/>
        <w:rPr>
          <w:color w:val="000000"/>
          <w:lang w:val="sk-SK"/>
        </w:rPr>
      </w:pPr>
      <w:r w:rsidRPr="0035354E">
        <w:rPr>
          <w:color w:val="000000"/>
          <w:lang w:val="sk-SK"/>
        </w:rPr>
        <w:t>We do not understand why new drinking water infrastructure cannot be built in agglomerations over 2 000 p.e. where wastewater infrastructure is missing/incompliant.  To the contrary it would be imperative to address the missing wastewater infrastructure in agglomerations over 2000 p.e. as a matter of priority. Therefore, we would recommend introducing interconnection with the measure 2.5.1 as well.</w:t>
      </w:r>
    </w:p>
    <w:p w14:paraId="063B43BB" w14:textId="77777777" w:rsidR="00B45901" w:rsidRPr="0035354E" w:rsidRDefault="00B45901" w:rsidP="00ED295C">
      <w:pPr>
        <w:pStyle w:val="wordsection1"/>
        <w:jc w:val="both"/>
        <w:rPr>
          <w:i/>
          <w:iCs/>
          <w:color w:val="00B050"/>
          <w:lang w:val="sk-SK"/>
        </w:rPr>
      </w:pPr>
    </w:p>
    <w:p w14:paraId="46E0DF3B" w14:textId="77777777" w:rsidR="00B25D85" w:rsidRPr="0035354E" w:rsidRDefault="00B45901" w:rsidP="00B25D85">
      <w:pPr>
        <w:pStyle w:val="wordsection1"/>
        <w:spacing w:after="120"/>
        <w:jc w:val="both"/>
        <w:rPr>
          <w:b/>
          <w:i/>
          <w:iCs/>
          <w:color w:val="2F5496" w:themeColor="accent5" w:themeShade="BF"/>
          <w:sz w:val="22"/>
          <w:szCs w:val="22"/>
          <w:lang w:val="sk-SK"/>
        </w:rPr>
      </w:pPr>
      <w:r w:rsidRPr="0035354E">
        <w:rPr>
          <w:b/>
          <w:iCs/>
          <w:color w:val="2F5496" w:themeColor="accent5" w:themeShade="BF"/>
          <w:lang w:val="sk-SK"/>
        </w:rPr>
        <w:t xml:space="preserve">Reakcia </w:t>
      </w:r>
      <w:r w:rsidR="00B25D85" w:rsidRPr="0035354E">
        <w:rPr>
          <w:b/>
          <w:iCs/>
          <w:color w:val="2F5496" w:themeColor="accent5" w:themeShade="BF"/>
          <w:lang w:val="sk-SK"/>
        </w:rPr>
        <w:t>sprostredkovateľského orgánu MŽP SR:</w:t>
      </w:r>
    </w:p>
    <w:p w14:paraId="3123B1DE" w14:textId="77777777" w:rsidR="00AE6ACA" w:rsidRPr="0035354E" w:rsidRDefault="007E1443" w:rsidP="00B45901">
      <w:pPr>
        <w:pStyle w:val="wordsection1"/>
        <w:shd w:val="clear" w:color="auto" w:fill="FFFFFF"/>
        <w:jc w:val="both"/>
        <w:rPr>
          <w:color w:val="2F5496" w:themeColor="accent5" w:themeShade="BF"/>
          <w:lang w:val="sk-SK"/>
        </w:rPr>
      </w:pPr>
      <w:r w:rsidRPr="0035354E">
        <w:rPr>
          <w:color w:val="2F5496" w:themeColor="accent5" w:themeShade="BF"/>
          <w:lang w:val="sk-SK"/>
        </w:rPr>
        <w:t xml:space="preserve">Výstavba verejných vodovodov je predmetom podpory nielen v aglomeráciách do 2000 EO, ale aj v aglomeráciách nad 2000 EO – v oboch prípadoch za </w:t>
      </w:r>
      <w:r w:rsidR="00B45901" w:rsidRPr="0035354E">
        <w:rPr>
          <w:color w:val="2F5496" w:themeColor="accent5" w:themeShade="BF"/>
          <w:lang w:val="sk-SK"/>
        </w:rPr>
        <w:t>podmienky súbežnej výstavby alebo existencie infraštruktúry na nakladanie s komunálnymi odpadovými vodami</w:t>
      </w:r>
      <w:r w:rsidRPr="0035354E">
        <w:rPr>
          <w:color w:val="2F5496" w:themeColor="accent5" w:themeShade="BF"/>
          <w:lang w:val="sk-SK"/>
        </w:rPr>
        <w:t xml:space="preserve">. </w:t>
      </w:r>
    </w:p>
    <w:p w14:paraId="27602D3F" w14:textId="77777777" w:rsidR="00AE6ACA" w:rsidRPr="0035354E" w:rsidRDefault="00AE6ACA" w:rsidP="00B45901">
      <w:pPr>
        <w:pStyle w:val="wordsection1"/>
        <w:shd w:val="clear" w:color="auto" w:fill="FFFFFF"/>
        <w:jc w:val="both"/>
        <w:rPr>
          <w:color w:val="2F5496" w:themeColor="accent5" w:themeShade="BF"/>
          <w:lang w:val="sk-SK"/>
        </w:rPr>
      </w:pPr>
      <w:r w:rsidRPr="0035354E">
        <w:rPr>
          <w:color w:val="2F5496" w:themeColor="accent5" w:themeShade="BF"/>
          <w:lang w:val="sk-SK"/>
        </w:rPr>
        <w:t xml:space="preserve">Nastavenie oprávnených aktivít v rámci výzvy teda nie je také, že by neumožňovalo kombináciu opatrenia 2.5.4 a 2.5.1. </w:t>
      </w:r>
      <w:r w:rsidR="007E1443" w:rsidRPr="0035354E">
        <w:rPr>
          <w:color w:val="2F5496" w:themeColor="accent5" w:themeShade="BF"/>
          <w:lang w:val="sk-SK"/>
        </w:rPr>
        <w:t xml:space="preserve">Prepojenie </w:t>
      </w:r>
      <w:r w:rsidR="00B45901" w:rsidRPr="0035354E">
        <w:rPr>
          <w:color w:val="2F5496" w:themeColor="accent5" w:themeShade="BF"/>
          <w:lang w:val="sk-SK"/>
        </w:rPr>
        <w:t xml:space="preserve"> výstavb</w:t>
      </w:r>
      <w:r w:rsidRPr="0035354E">
        <w:rPr>
          <w:color w:val="2F5496" w:themeColor="accent5" w:themeShade="BF"/>
          <w:lang w:val="sk-SK"/>
        </w:rPr>
        <w:t>y</w:t>
      </w:r>
      <w:r w:rsidR="00B45901" w:rsidRPr="0035354E">
        <w:rPr>
          <w:color w:val="2F5496" w:themeColor="accent5" w:themeShade="BF"/>
          <w:lang w:val="sk-SK"/>
        </w:rPr>
        <w:t xml:space="preserve"> verejného vodovodu</w:t>
      </w:r>
      <w:r w:rsidRPr="0035354E">
        <w:rPr>
          <w:color w:val="2F5496" w:themeColor="accent5" w:themeShade="BF"/>
          <w:lang w:val="sk-SK"/>
        </w:rPr>
        <w:t xml:space="preserve"> a verejnej kanalizácie aj v prípade aglomerácií nad 2000 EO je teda umožnené.  </w:t>
      </w:r>
    </w:p>
    <w:p w14:paraId="26CDE8B6" w14:textId="5019D2D1" w:rsidR="00E01904" w:rsidRPr="0035354E" w:rsidRDefault="00AE6ACA" w:rsidP="00E01904">
      <w:pPr>
        <w:pStyle w:val="wordsection1"/>
        <w:shd w:val="clear" w:color="auto" w:fill="FFFFFF"/>
        <w:jc w:val="both"/>
        <w:rPr>
          <w:i/>
          <w:iCs/>
          <w:color w:val="00B050"/>
          <w:lang w:val="sk-SK"/>
        </w:rPr>
      </w:pPr>
      <w:r w:rsidRPr="0035354E">
        <w:rPr>
          <w:color w:val="2F5496" w:themeColor="accent5" w:themeShade="BF"/>
          <w:lang w:val="sk-SK"/>
        </w:rPr>
        <w:t>Vyplýva</w:t>
      </w:r>
      <w:r w:rsidR="00E01904" w:rsidRPr="0035354E">
        <w:rPr>
          <w:color w:val="2F5496" w:themeColor="accent5" w:themeShade="BF"/>
          <w:lang w:val="sk-SK"/>
        </w:rPr>
        <w:t xml:space="preserve"> to</w:t>
      </w:r>
      <w:r w:rsidRPr="0035354E">
        <w:rPr>
          <w:color w:val="2F5496" w:themeColor="accent5" w:themeShade="BF"/>
          <w:lang w:val="sk-SK"/>
        </w:rPr>
        <w:t xml:space="preserve"> z názvu samotného opatrenia 2.5.4 </w:t>
      </w:r>
      <w:r w:rsidRPr="0035354E">
        <w:rPr>
          <w:i/>
          <w:color w:val="2F5496" w:themeColor="accent5" w:themeShade="BF"/>
          <w:lang w:val="sk-SK"/>
        </w:rPr>
        <w:t xml:space="preserve">Výstavba verejných vodovodov </w:t>
      </w:r>
      <w:r w:rsidRPr="0035354E">
        <w:rPr>
          <w:i/>
          <w:color w:val="2F5496" w:themeColor="accent5" w:themeShade="BF"/>
          <w:lang w:val="sk-SK"/>
        </w:rPr>
        <w:br/>
      </w:r>
      <w:r w:rsidRPr="0035354E">
        <w:rPr>
          <w:b/>
          <w:i/>
          <w:color w:val="2F5496" w:themeColor="accent5" w:themeShade="BF"/>
          <w:lang w:val="sk-SK"/>
        </w:rPr>
        <w:t>v obciach nad 2000 obyvateľov</w:t>
      </w:r>
      <w:r w:rsidRPr="0035354E">
        <w:rPr>
          <w:i/>
          <w:color w:val="2F5496" w:themeColor="accent5" w:themeShade="BF"/>
          <w:lang w:val="sk-SK"/>
        </w:rPr>
        <w:t xml:space="preserve"> a v obciach do 2 000 obyvateľov mimo dobiehajúcich regiónov za podmienky súbežnej výstavby alebo existencie infraštruktúry na nakladanie s komunálnymi odpadovými vodami, </w:t>
      </w:r>
      <w:r w:rsidRPr="0035354E">
        <w:rPr>
          <w:color w:val="2F5496" w:themeColor="accent5" w:themeShade="BF"/>
          <w:lang w:val="sk-SK"/>
        </w:rPr>
        <w:t>ale aj z hodnotiaci</w:t>
      </w:r>
      <w:r w:rsidR="00E01904" w:rsidRPr="0035354E">
        <w:rPr>
          <w:color w:val="2F5496" w:themeColor="accent5" w:themeShade="BF"/>
          <w:lang w:val="sk-SK"/>
        </w:rPr>
        <w:t>c</w:t>
      </w:r>
      <w:r w:rsidRPr="0035354E">
        <w:rPr>
          <w:color w:val="2F5496" w:themeColor="accent5" w:themeShade="BF"/>
          <w:lang w:val="sk-SK"/>
        </w:rPr>
        <w:t>h kr</w:t>
      </w:r>
      <w:r w:rsidR="00E01904" w:rsidRPr="0035354E">
        <w:rPr>
          <w:color w:val="2F5496" w:themeColor="accent5" w:themeShade="BF"/>
          <w:lang w:val="sk-SK"/>
        </w:rPr>
        <w:t xml:space="preserve">itérií, kde v rámci kritéria 2A. </w:t>
      </w:r>
      <w:r w:rsidR="00E01904" w:rsidRPr="0035354E">
        <w:rPr>
          <w:i/>
          <w:color w:val="2F5496" w:themeColor="accent5" w:themeShade="BF"/>
          <w:lang w:val="sk-SK"/>
        </w:rPr>
        <w:t>Vhodnosť stavebno- technického riešenia – z hľadiska súladu s nakladaním s komunálnymi odpadovými vodami</w:t>
      </w:r>
      <w:r w:rsidR="00E01904" w:rsidRPr="0035354E">
        <w:rPr>
          <w:color w:val="2F5496" w:themeColor="accent5" w:themeShade="BF"/>
          <w:lang w:val="sk-SK"/>
        </w:rPr>
        <w:t xml:space="preserve"> je zmienené, že: „Posudzuje sa podľa žiadateľom zvolenej aktivity. </w:t>
      </w:r>
      <w:r w:rsidR="00E01904" w:rsidRPr="0035354E">
        <w:rPr>
          <w:i/>
          <w:color w:val="2F5496" w:themeColor="accent5" w:themeShade="BF"/>
          <w:lang w:val="sk-SK"/>
        </w:rPr>
        <w:t>V prípade, ak ide o kombináciu s aktivitou opatrenia 2.5.1 Výstavba stokovej siete a čistiarní odpadových vôd v aglomeráciách nad 2000 EO v zmysle záväzkov SR voči EÚ,</w:t>
      </w:r>
      <w:r w:rsidR="00E01904" w:rsidRPr="0035354E">
        <w:rPr>
          <w:color w:val="2F5496" w:themeColor="accent5" w:themeShade="BF"/>
          <w:lang w:val="sk-SK"/>
        </w:rPr>
        <w:t xml:space="preserve"> tak sa osobitne posúdia aj hodnotiace kritériá pre opatrenie 2.5.1“.</w:t>
      </w:r>
      <w:r w:rsidRPr="0035354E">
        <w:rPr>
          <w:i/>
          <w:color w:val="2F5496" w:themeColor="accent5" w:themeShade="BF"/>
          <w:lang w:val="sk-SK"/>
        </w:rPr>
        <w:t xml:space="preserve">  </w:t>
      </w:r>
    </w:p>
    <w:p w14:paraId="28A62011" w14:textId="61CA6A15" w:rsidR="00EB5DA8" w:rsidRPr="0035354E" w:rsidRDefault="00EB5DA8" w:rsidP="00ED295C">
      <w:pPr>
        <w:pStyle w:val="wordsection1"/>
        <w:jc w:val="both"/>
        <w:rPr>
          <w:iCs/>
          <w:color w:val="00B050"/>
          <w:lang w:val="sk-SK"/>
        </w:rPr>
      </w:pPr>
    </w:p>
    <w:p w14:paraId="2D54843E" w14:textId="01DBEA0A" w:rsidR="00B25D85" w:rsidRPr="0035354E" w:rsidRDefault="00B25D85" w:rsidP="00ED295C">
      <w:pPr>
        <w:pStyle w:val="wordsection1"/>
        <w:jc w:val="both"/>
        <w:rPr>
          <w:iCs/>
          <w:color w:val="00B050"/>
          <w:lang w:val="sk-SK"/>
        </w:rPr>
      </w:pPr>
      <w:r w:rsidRPr="0035354E">
        <w:rPr>
          <w:color w:val="000000"/>
          <w:lang w:val="sk-SK"/>
        </w:rPr>
        <w:t>Pripomienka EK:</w:t>
      </w:r>
    </w:p>
    <w:p w14:paraId="0828F097" w14:textId="77777777" w:rsidR="00D617A6" w:rsidRPr="0035354E" w:rsidRDefault="00D617A6" w:rsidP="00ED295C">
      <w:pPr>
        <w:pStyle w:val="wordsection1"/>
        <w:jc w:val="both"/>
        <w:rPr>
          <w:color w:val="000000"/>
          <w:lang w:val="sk-SK"/>
        </w:rPr>
      </w:pPr>
      <w:r w:rsidRPr="0035354E">
        <w:rPr>
          <w:color w:val="000000"/>
          <w:lang w:val="sk-SK"/>
        </w:rPr>
        <w:t>Similarly to the measure 2.5.2 the capacity of the beneficiary to operate the drinking water supply system should be carefully scrutinised, in particular for “small” beneficiaries.</w:t>
      </w:r>
    </w:p>
    <w:p w14:paraId="7236227A" w14:textId="1055A305" w:rsidR="00043E2B" w:rsidRPr="0035354E" w:rsidRDefault="00043E2B" w:rsidP="00043E2B">
      <w:pPr>
        <w:pStyle w:val="wordsection1"/>
        <w:jc w:val="both"/>
        <w:rPr>
          <w:color w:val="FF0000"/>
          <w:lang w:val="sk-SK"/>
        </w:rPr>
      </w:pPr>
    </w:p>
    <w:p w14:paraId="691B5FA8" w14:textId="77777777" w:rsidR="001A56D5" w:rsidRPr="0035354E" w:rsidRDefault="001A56D5" w:rsidP="001A56D5">
      <w:pPr>
        <w:pStyle w:val="wordsection1"/>
        <w:spacing w:after="120"/>
        <w:jc w:val="both"/>
        <w:rPr>
          <w:b/>
          <w:i/>
          <w:iCs/>
          <w:color w:val="2F5496" w:themeColor="accent5" w:themeShade="BF"/>
          <w:sz w:val="22"/>
          <w:szCs w:val="22"/>
          <w:lang w:val="sk-SK"/>
        </w:rPr>
      </w:pPr>
      <w:r w:rsidRPr="0035354E">
        <w:rPr>
          <w:b/>
          <w:iCs/>
          <w:color w:val="2F5496" w:themeColor="accent5" w:themeShade="BF"/>
          <w:lang w:val="sk-SK"/>
        </w:rPr>
        <w:t>Reakcia SO MŽP SR:</w:t>
      </w:r>
    </w:p>
    <w:p w14:paraId="5A31AD63" w14:textId="77777777" w:rsidR="001A56D5" w:rsidRPr="0035354E" w:rsidRDefault="001A56D5" w:rsidP="001A56D5">
      <w:pPr>
        <w:pStyle w:val="wordsection1"/>
        <w:spacing w:after="120"/>
        <w:jc w:val="both"/>
        <w:rPr>
          <w:color w:val="2F5496" w:themeColor="accent5" w:themeShade="BF"/>
          <w:lang w:val="sk-SK"/>
        </w:rPr>
      </w:pPr>
      <w:r w:rsidRPr="0035354E">
        <w:rPr>
          <w:color w:val="2F5496" w:themeColor="accent5" w:themeShade="BF"/>
          <w:lang w:val="sk-SK"/>
        </w:rPr>
        <w:t>Predložené hodnotiace a výberové kritériá sú tzv. vecnými kritériami, ktoré zohľadňujú vecné špecifiká podpory, vyplývajúce najmä z oprávnenosti aktivít. Tieto kritéria budú doplnené o kritériá v súlade s požiadavkami článku 73 nariadenia Európskeho parlamentu a Rady (EÚ) 2021/1060 z 24. júna 2021,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 (ďalej ako „nariadenie o spoločných ustanoveniach“). Kritériá podľa článku 73 nariadenia o spoločných ustanoveniach sú uvedené v dokumente „Všeobecná metodika a kritériá použité pre výber projektov“ , ktorý bol vypracovaný riadiacim orgánom pre Program Slovensko 2021 – 2027 a schválený Monitorovacím výborom pre Program Slovensko 2021 – 2027 dňa 31.05.2023 v súlade s článkom 40 nariadenia o spoločných ustanoveniach.</w:t>
      </w:r>
    </w:p>
    <w:p w14:paraId="3ED58462" w14:textId="77777777" w:rsidR="001A56D5" w:rsidRPr="0035354E" w:rsidRDefault="001A56D5" w:rsidP="001A56D5">
      <w:pPr>
        <w:pStyle w:val="wordsection1"/>
        <w:spacing w:after="120"/>
        <w:jc w:val="both"/>
        <w:rPr>
          <w:i/>
          <w:color w:val="2F5496" w:themeColor="accent5" w:themeShade="BF"/>
          <w:lang w:val="sk-SK"/>
        </w:rPr>
      </w:pPr>
      <w:r w:rsidRPr="0035354E">
        <w:rPr>
          <w:color w:val="2F5496" w:themeColor="accent5" w:themeShade="BF"/>
          <w:lang w:val="sk-SK"/>
        </w:rPr>
        <w:t xml:space="preserve">Súčasťou kritérií podľa článku 73 nariadenia o spoločných ustanoveniach je aj vylučujúce kritérium č. 5, ktoré znie: </w:t>
      </w:r>
      <w:r w:rsidRPr="0035354E">
        <w:rPr>
          <w:i/>
          <w:color w:val="2F5496" w:themeColor="accent5" w:themeShade="BF"/>
          <w:lang w:val="sk-SK"/>
        </w:rPr>
        <w:t xml:space="preserve">Má prijímateľ potrebné finančné zdroje a mechanizmy na pokrytie </w:t>
      </w:r>
      <w:r w:rsidRPr="0035354E">
        <w:rPr>
          <w:i/>
          <w:color w:val="2F5496" w:themeColor="accent5" w:themeShade="BF"/>
          <w:lang w:val="sk-SK"/>
        </w:rPr>
        <w:lastRenderedPageBreak/>
        <w:t>nákladov na prevádzku a údržbu v prípade projektu, ktorý zahŕňa investície do infraštruktúry alebo produktívne investície , aby zabezpečil ich finančnú udržateľnosť (článok 73 ods. 2 písm. d) nariadenia o spoločných ustanoveniach)?</w:t>
      </w:r>
    </w:p>
    <w:p w14:paraId="20448024" w14:textId="77777777" w:rsidR="001A56D5" w:rsidRPr="0035354E" w:rsidRDefault="001A56D5" w:rsidP="001A56D5">
      <w:pPr>
        <w:pStyle w:val="wordsection1"/>
        <w:spacing w:after="120"/>
        <w:jc w:val="both"/>
        <w:rPr>
          <w:color w:val="2F5496" w:themeColor="accent5" w:themeShade="BF"/>
          <w:lang w:val="sk-SK"/>
        </w:rPr>
      </w:pPr>
      <w:r w:rsidRPr="0035354E">
        <w:rPr>
          <w:color w:val="2F5496" w:themeColor="accent5" w:themeShade="BF"/>
          <w:lang w:val="sk-SK"/>
        </w:rPr>
        <w:t>Uvedené nastavenie je systémovým nastavením, kedy požiadavky podľa čl. 73 nariadenia o spoločných ustanoveniach definovaných v dokumente „Všeobecná metodika a kritériá použité pre výber projektov“ sa spoja s vecnými kritériami, ktoré sú schvaľované osobitne podľa špecifík oprávnených aktivít.</w:t>
      </w:r>
    </w:p>
    <w:p w14:paraId="7EF4A510" w14:textId="77777777" w:rsidR="001A56D5" w:rsidRPr="0035354E" w:rsidRDefault="001A56D5" w:rsidP="001A56D5">
      <w:pPr>
        <w:pStyle w:val="wordsection1"/>
        <w:jc w:val="both"/>
        <w:rPr>
          <w:color w:val="2F5496" w:themeColor="accent5" w:themeShade="BF"/>
          <w:lang w:val="sk-SK"/>
        </w:rPr>
      </w:pPr>
      <w:r w:rsidRPr="0035354E">
        <w:rPr>
          <w:color w:val="2F5496" w:themeColor="accent5" w:themeShade="BF"/>
          <w:lang w:val="sk-SK"/>
        </w:rPr>
        <w:t>Máme za to, že vyššie uvedené kritérium  stanovené podľa článku 73 nariadenia o spoločných ustanoveniach vecne napĺňa  požiadavku uvedenú vo vznesenej pripomienke EK.</w:t>
      </w:r>
    </w:p>
    <w:p w14:paraId="0A6D5BAA" w14:textId="77777777" w:rsidR="001A56D5" w:rsidRPr="0035354E" w:rsidRDefault="001A56D5" w:rsidP="001A56D5">
      <w:pPr>
        <w:pStyle w:val="wordsection1"/>
        <w:jc w:val="both"/>
        <w:rPr>
          <w:color w:val="2F5496" w:themeColor="accent5" w:themeShade="BF"/>
          <w:lang w:val="sk-SK"/>
        </w:rPr>
      </w:pPr>
    </w:p>
    <w:p w14:paraId="20623E2F" w14:textId="77777777" w:rsidR="001A56D5" w:rsidRPr="0035354E" w:rsidRDefault="001A56D5" w:rsidP="001A56D5">
      <w:pPr>
        <w:pStyle w:val="wordsection1"/>
        <w:spacing w:after="120"/>
        <w:jc w:val="both"/>
        <w:rPr>
          <w:color w:val="2F5496" w:themeColor="accent5" w:themeShade="BF"/>
          <w:lang w:val="sk-SK"/>
        </w:rPr>
      </w:pPr>
      <w:r w:rsidRPr="0035354E">
        <w:rPr>
          <w:color w:val="2F5496" w:themeColor="accent5" w:themeShade="BF"/>
          <w:lang w:val="sk-SK"/>
        </w:rPr>
        <w:t>Nad rámec uvedeného systémového nastavenia uvádzame, že kritérium č. 5 uvedené v dokumente „Všeobecná metodika a kritériá použité pre výber projektov“ nebude pri opatreniach 2.5.2 a 2.5.4 (ani pri 2.5.1) aplikované, a to z dôvodu existencie národnej legislatívy, ktorá reguluje trh s nakladaním s komunálnymi odpadovými vodami, ako aj trh dodávky pitnej vody verejným vodovom. V rámci tejto regulácie vstupuje štát prostredníctvom Úradu pre reguláciu sieťových odvetví aj do cenovej regulácie. V rámci cenovej regulácie stanovuje ÚRSO maximálnu cenu vodného a stočného, ktorá rešpektuje tzv. ekonomicky oprávnené náklady (vrátane náklady prevádzky) a primeraný zisk pre prevádzkovateľa vybudovanej infraštruktúry. Z tohto dôvodu je zabezpečené, aby príjmy z prevádzky pokryli prevádzkové náklady, čím sa zabezpečí prevádzková udržateľnosť infraštruktúry.</w:t>
      </w:r>
    </w:p>
    <w:p w14:paraId="73F8581A" w14:textId="77777777" w:rsidR="001A56D5" w:rsidRPr="0035354E" w:rsidRDefault="001A56D5" w:rsidP="001A56D5">
      <w:pPr>
        <w:pStyle w:val="wordsection1"/>
        <w:jc w:val="both"/>
        <w:rPr>
          <w:color w:val="2F5496" w:themeColor="accent5" w:themeShade="BF"/>
          <w:lang w:val="sk-SK"/>
        </w:rPr>
      </w:pPr>
      <w:r w:rsidRPr="0035354E">
        <w:rPr>
          <w:color w:val="2F5496" w:themeColor="accent5" w:themeShade="BF"/>
          <w:lang w:val="sk-SK"/>
        </w:rPr>
        <w:t>V rámci Slovenskej republiky a odvetvia dodávky pitnej vody, resp. odvádzania/čistenia odpadovej vody sa cenová regulácia riadi najmä:</w:t>
      </w:r>
    </w:p>
    <w:p w14:paraId="1958E525" w14:textId="77777777" w:rsidR="001A56D5" w:rsidRPr="0035354E" w:rsidRDefault="001A56D5" w:rsidP="001A56D5">
      <w:pPr>
        <w:pStyle w:val="wordsection1"/>
        <w:jc w:val="both"/>
        <w:rPr>
          <w:color w:val="2F5496" w:themeColor="accent5" w:themeShade="BF"/>
          <w:lang w:val="sk-SK"/>
        </w:rPr>
      </w:pPr>
      <w:r w:rsidRPr="0035354E">
        <w:rPr>
          <w:color w:val="2F5496" w:themeColor="accent5" w:themeShade="BF"/>
          <w:lang w:val="sk-SK"/>
        </w:rPr>
        <w:t>• zákonom č. 250/2012 o regulácii v sieťových odvetviach,</w:t>
      </w:r>
    </w:p>
    <w:p w14:paraId="025B6E1F" w14:textId="77777777" w:rsidR="001A56D5" w:rsidRPr="0035354E" w:rsidRDefault="001A56D5" w:rsidP="001A56D5">
      <w:pPr>
        <w:pStyle w:val="wordsection1"/>
        <w:spacing w:after="120"/>
        <w:jc w:val="both"/>
        <w:rPr>
          <w:color w:val="2F5496" w:themeColor="accent5" w:themeShade="BF"/>
          <w:lang w:val="sk-SK"/>
        </w:rPr>
      </w:pPr>
      <w:r w:rsidRPr="0035354E">
        <w:rPr>
          <w:color w:val="2F5496" w:themeColor="accent5" w:themeShade="BF"/>
          <w:lang w:val="sk-SK"/>
        </w:rPr>
        <w:t>• vyhláškou Úradu pre reguláciu sieťových odvetví č. 323/2022 Z. z. ktorou sa ustanovuje cenová regulácia výroby, distribúcie a dodávky pitnej vody verejným vodovodom a odvádzania a čistenia odpadovej vody verejnou kanalizáciou a niektoré podmienky vykonávania regulovaných činností vo vodnom hospodárstve.</w:t>
      </w:r>
    </w:p>
    <w:p w14:paraId="089C5F27" w14:textId="77777777" w:rsidR="001A56D5" w:rsidRPr="0035354E" w:rsidRDefault="001A56D5" w:rsidP="001A56D5">
      <w:pPr>
        <w:pStyle w:val="wordsection1"/>
        <w:jc w:val="both"/>
        <w:rPr>
          <w:color w:val="2F5496" w:themeColor="accent5" w:themeShade="BF"/>
          <w:lang w:val="sk-SK"/>
        </w:rPr>
      </w:pPr>
      <w:r w:rsidRPr="0035354E">
        <w:rPr>
          <w:color w:val="2F5496" w:themeColor="accent5" w:themeShade="BF"/>
          <w:lang w:val="sk-SK"/>
        </w:rPr>
        <w:t>Kritérium č. 5 z dokumentu „Všeobecná metodika a kritériá použité pre výber projektov“ preto nebude osobitne aplikované, aby sa predišlo goldplatingu a urýchlilo sa schvaľovanie žiadostí o poskytnutie nenávratného finančného príspevku.</w:t>
      </w:r>
    </w:p>
    <w:p w14:paraId="0D3DF222" w14:textId="77777777" w:rsidR="00043E2B" w:rsidRPr="0035354E" w:rsidRDefault="00043E2B" w:rsidP="00043E2B">
      <w:pPr>
        <w:pStyle w:val="wordsection1"/>
        <w:jc w:val="both"/>
        <w:rPr>
          <w:color w:val="000000"/>
          <w:lang w:val="sk-SK"/>
        </w:rPr>
      </w:pPr>
    </w:p>
    <w:p w14:paraId="745DECB0" w14:textId="2A440663" w:rsidR="00B25D85" w:rsidRPr="0035354E" w:rsidRDefault="00B25D85" w:rsidP="00ED295C">
      <w:pPr>
        <w:pStyle w:val="wordsection1"/>
        <w:jc w:val="both"/>
        <w:rPr>
          <w:color w:val="000000"/>
          <w:lang w:val="sk-SK"/>
        </w:rPr>
      </w:pPr>
      <w:r w:rsidRPr="0035354E">
        <w:rPr>
          <w:color w:val="000000"/>
          <w:lang w:val="sk-SK"/>
        </w:rPr>
        <w:t>Pripomienka EK:</w:t>
      </w:r>
    </w:p>
    <w:p w14:paraId="271CBC71" w14:textId="0FDEE0AC" w:rsidR="00D617A6" w:rsidRPr="0035354E" w:rsidRDefault="00D617A6" w:rsidP="00ED295C">
      <w:pPr>
        <w:pStyle w:val="wordsection1"/>
        <w:jc w:val="both"/>
        <w:rPr>
          <w:rFonts w:ascii="Calibri" w:hAnsi="Calibri" w:cs="Calibri"/>
          <w:color w:val="000000"/>
          <w:sz w:val="22"/>
          <w:szCs w:val="22"/>
          <w:lang w:val="sk-SK"/>
        </w:rPr>
      </w:pPr>
      <w:r w:rsidRPr="0035354E">
        <w:rPr>
          <w:color w:val="000000"/>
          <w:lang w:val="sk-SK"/>
        </w:rPr>
        <w:t xml:space="preserve">In this measure territorial approach (support via ITIs) is also foreseen for municipalities bellow 2000 inhabitants. We would like to receive further information how the strategic approach will be ensured in both ways, what will be the division line and what allocations are foreseen for the 2 approaches. </w:t>
      </w:r>
    </w:p>
    <w:p w14:paraId="1475FECA" w14:textId="77777777" w:rsidR="00B148AB" w:rsidRPr="0035354E" w:rsidRDefault="00B148AB" w:rsidP="00ED295C">
      <w:pPr>
        <w:pStyle w:val="wordsection1"/>
        <w:jc w:val="both"/>
        <w:rPr>
          <w:rFonts w:ascii="Calibri" w:hAnsi="Calibri" w:cs="Calibri"/>
          <w:color w:val="000000"/>
          <w:sz w:val="22"/>
          <w:szCs w:val="22"/>
          <w:lang w:val="sk-SK"/>
        </w:rPr>
      </w:pPr>
    </w:p>
    <w:p w14:paraId="71713483" w14:textId="77777777" w:rsidR="00B25D85" w:rsidRPr="0035354E" w:rsidRDefault="00141F89" w:rsidP="00B25D85">
      <w:pPr>
        <w:pStyle w:val="wordsection1"/>
        <w:spacing w:after="120"/>
        <w:jc w:val="both"/>
        <w:rPr>
          <w:b/>
          <w:i/>
          <w:iCs/>
          <w:color w:val="2F5496" w:themeColor="accent5" w:themeShade="BF"/>
          <w:sz w:val="22"/>
          <w:szCs w:val="22"/>
          <w:lang w:val="sk-SK"/>
        </w:rPr>
      </w:pPr>
      <w:r w:rsidRPr="0035354E">
        <w:rPr>
          <w:b/>
          <w:iCs/>
          <w:color w:val="2F5496" w:themeColor="accent5" w:themeShade="BF"/>
          <w:lang w:val="sk-SK"/>
        </w:rPr>
        <w:t xml:space="preserve">Reakcia </w:t>
      </w:r>
      <w:r w:rsidR="00B25D85" w:rsidRPr="0035354E">
        <w:rPr>
          <w:b/>
          <w:iCs/>
          <w:color w:val="2F5496" w:themeColor="accent5" w:themeShade="BF"/>
          <w:lang w:val="sk-SK"/>
        </w:rPr>
        <w:t>sprostredkovateľského orgánu MŽP SR:</w:t>
      </w:r>
    </w:p>
    <w:p w14:paraId="17C9583D" w14:textId="5455B333" w:rsidR="00B148AB" w:rsidRPr="0035354E" w:rsidRDefault="00B148AB" w:rsidP="00141F89">
      <w:pPr>
        <w:pStyle w:val="wordsection1"/>
        <w:shd w:val="clear" w:color="auto" w:fill="FFFFFF"/>
        <w:spacing w:after="120"/>
        <w:jc w:val="both"/>
        <w:rPr>
          <w:color w:val="2F5496" w:themeColor="accent5" w:themeShade="BF"/>
          <w:lang w:val="sk-SK"/>
        </w:rPr>
      </w:pPr>
      <w:r w:rsidRPr="0035354E">
        <w:rPr>
          <w:color w:val="2F5496" w:themeColor="accent5" w:themeShade="BF"/>
          <w:lang w:val="sk-SK"/>
        </w:rPr>
        <w:t>Výstavba verejného vodovodu</w:t>
      </w:r>
      <w:r w:rsidR="00141F89" w:rsidRPr="0035354E">
        <w:rPr>
          <w:color w:val="2F5496" w:themeColor="accent5" w:themeShade="BF"/>
          <w:lang w:val="sk-SK"/>
        </w:rPr>
        <w:t xml:space="preserve"> v obciach do 2000 obyvateľov</w:t>
      </w:r>
      <w:r w:rsidRPr="0035354E">
        <w:rPr>
          <w:color w:val="2F5496" w:themeColor="accent5" w:themeShade="BF"/>
          <w:lang w:val="sk-SK"/>
        </w:rPr>
        <w:t xml:space="preserve"> bude možné podporiť len súbežne s výstavbou verejnej kanalizácie</w:t>
      </w:r>
      <w:r w:rsidR="00141F89" w:rsidRPr="0035354E">
        <w:rPr>
          <w:color w:val="2F5496" w:themeColor="accent5" w:themeShade="BF"/>
          <w:lang w:val="sk-SK"/>
        </w:rPr>
        <w:t>, ktorá je podporovaná prostredníctvom opatrenia</w:t>
      </w:r>
      <w:r w:rsidRPr="0035354E">
        <w:rPr>
          <w:color w:val="2F5496" w:themeColor="accent5" w:themeShade="BF"/>
          <w:lang w:val="sk-SK"/>
        </w:rPr>
        <w:t xml:space="preserve">  2.5.2 Podpora infraštruktúry v oblasti nakladania s komunálnymi odpadovými vodami v aglomeráciách do 2000 EO so zameraním najmä na územia prioritné z environmentálneho hľadiska mimo dobiehajúcich regiónov. Územím prioritným z environmentálneho hľadiska sú chránené vodohospodárske oblasti (CHVO), pričom v rámci nich je najvyššou prioritou chránená vodohospodárska oblasť Žitný ostrov. Preto dopytovo-orientovaná výzva na predmetné opatrenie, ktorú vyhlási MŽP SR, bude primárne určená pre obce do 2 000 EO situované v chránenej vodohospodárskej oblasti Žitný ostrov a v druhom rade pre obce situované v ostatných chránených vodohospodárskych oblastiach v Bratislavskom </w:t>
      </w:r>
      <w:r w:rsidRPr="0035354E">
        <w:rPr>
          <w:color w:val="2F5496" w:themeColor="accent5" w:themeShade="BF"/>
          <w:lang w:val="sk-SK"/>
        </w:rPr>
        <w:lastRenderedPageBreak/>
        <w:t xml:space="preserve">samosprávnom kraji, Trnavskom samosprávnom kraji, Trenčianskom samosprávnom kraji a Žilinskom samosprávnom kraji. </w:t>
      </w:r>
    </w:p>
    <w:p w14:paraId="224AEAFD" w14:textId="4AEE456A" w:rsidR="00B148AB" w:rsidRPr="0035354E" w:rsidRDefault="00B148AB" w:rsidP="00ED295C">
      <w:pPr>
        <w:pStyle w:val="wordsection1"/>
        <w:shd w:val="clear" w:color="auto" w:fill="FFFFFF"/>
        <w:jc w:val="both"/>
        <w:rPr>
          <w:color w:val="2F5496" w:themeColor="accent5" w:themeShade="BF"/>
          <w:lang w:val="sk-SK"/>
        </w:rPr>
      </w:pPr>
      <w:r w:rsidRPr="0035354E">
        <w:rPr>
          <w:color w:val="2F5496" w:themeColor="accent5" w:themeShade="BF"/>
          <w:lang w:val="sk-SK"/>
        </w:rPr>
        <w:t>Projekty realizované prostredníctvom integrovaných územných investícií (IÚI) budú schvaľované priamo Radou partnerstva príslušného samosprávneho kraja v súlade s dokumentom - Integrovaná územná stratégia príslušného samosprávneho kraja. Alokácia v Programe Slovensko na podporu opatrenia 2.5.</w:t>
      </w:r>
      <w:r w:rsidR="00141F89" w:rsidRPr="0035354E">
        <w:rPr>
          <w:color w:val="2F5496" w:themeColor="accent5" w:themeShade="BF"/>
          <w:lang w:val="sk-SK"/>
        </w:rPr>
        <w:t>4</w:t>
      </w:r>
      <w:r w:rsidRPr="0035354E">
        <w:rPr>
          <w:color w:val="2F5496" w:themeColor="accent5" w:themeShade="BF"/>
          <w:lang w:val="sk-SK"/>
        </w:rPr>
        <w:t xml:space="preserve"> určená riadiacim orgánom pre Program Slovensko (Ministerstvom investícií, regionálneho rozvoja a informatizácie SR) je pre všetky samosprávne kraje situované mimo dobiehajúcich regiónov (Trnavský samosprávny kraj, Nitriansky samosprávny kraj, Trenčiansky samosprávny kraj a Žilinský samosprávnom kraj) v</w:t>
      </w:r>
      <w:r w:rsidR="00141F89" w:rsidRPr="0035354E">
        <w:rPr>
          <w:color w:val="2F5496" w:themeColor="accent5" w:themeShade="BF"/>
          <w:lang w:val="sk-SK"/>
        </w:rPr>
        <w:t xml:space="preserve"> celkovej</w:t>
      </w:r>
      <w:r w:rsidRPr="0035354E">
        <w:rPr>
          <w:color w:val="2F5496" w:themeColor="accent5" w:themeShade="BF"/>
          <w:lang w:val="sk-SK"/>
        </w:rPr>
        <w:t xml:space="preserve"> výške </w:t>
      </w:r>
      <w:r w:rsidR="00141F89" w:rsidRPr="0035354E">
        <w:rPr>
          <w:color w:val="2F5496" w:themeColor="accent5" w:themeShade="BF"/>
          <w:lang w:val="sk-SK"/>
        </w:rPr>
        <w:t>9 35</w:t>
      </w:r>
      <w:r w:rsidRPr="0035354E">
        <w:rPr>
          <w:color w:val="2F5496" w:themeColor="accent5" w:themeShade="BF"/>
          <w:lang w:val="sk-SK"/>
        </w:rPr>
        <w:t xml:space="preserve">0 000 EUR. O využití uvedenej alokácie na podporu konkrétnych projektových zámerov/IÚI teda môže rozhodnúť rada partnerstva príslušného samosprávneho kraja,  pričom vzhľadom na limitovanú výšku alokácie pre jeden samosprávny kraj </w:t>
      </w:r>
      <w:r w:rsidR="00141F89" w:rsidRPr="0035354E">
        <w:rPr>
          <w:color w:val="2F5496" w:themeColor="accent5" w:themeShade="BF"/>
          <w:lang w:val="sk-SK"/>
        </w:rPr>
        <w:t xml:space="preserve">bude </w:t>
      </w:r>
      <w:r w:rsidRPr="0035354E">
        <w:rPr>
          <w:color w:val="2F5496" w:themeColor="accent5" w:themeShade="BF"/>
          <w:lang w:val="sk-SK"/>
        </w:rPr>
        <w:t>možné podporiť jeden alebo len niekoľko projektov.</w:t>
      </w:r>
    </w:p>
    <w:p w14:paraId="2F25A2AF" w14:textId="77777777" w:rsidR="00B148AB" w:rsidRPr="0035354E" w:rsidRDefault="00B148AB" w:rsidP="00141F89">
      <w:pPr>
        <w:pStyle w:val="wordsection1"/>
        <w:shd w:val="clear" w:color="auto" w:fill="FFFFFF"/>
        <w:jc w:val="both"/>
        <w:rPr>
          <w:color w:val="2F5496" w:themeColor="accent5" w:themeShade="BF"/>
          <w:lang w:val="sk-SK"/>
        </w:rPr>
      </w:pPr>
    </w:p>
    <w:p w14:paraId="6F01FBCA" w14:textId="77777777" w:rsidR="00D27F1C" w:rsidRPr="0035354E" w:rsidRDefault="00D27F1C" w:rsidP="00141F89">
      <w:pPr>
        <w:pStyle w:val="wordsection1"/>
        <w:shd w:val="clear" w:color="auto" w:fill="FFFFFF"/>
        <w:jc w:val="both"/>
        <w:rPr>
          <w:color w:val="2F5496" w:themeColor="accent5" w:themeShade="BF"/>
          <w:lang w:val="sk-SK"/>
        </w:rPr>
      </w:pPr>
    </w:p>
    <w:sectPr w:rsidR="00D27F1C" w:rsidRPr="0035354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998AB" w14:textId="77777777" w:rsidR="00113055" w:rsidRDefault="00113055" w:rsidP="00914852">
      <w:pPr>
        <w:spacing w:after="0" w:line="240" w:lineRule="auto"/>
      </w:pPr>
      <w:r>
        <w:separator/>
      </w:r>
    </w:p>
  </w:endnote>
  <w:endnote w:type="continuationSeparator" w:id="0">
    <w:p w14:paraId="7E5C6C35" w14:textId="77777777" w:rsidR="00113055" w:rsidRDefault="00113055" w:rsidP="00914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595205"/>
      <w:docPartObj>
        <w:docPartGallery w:val="Page Numbers (Bottom of Page)"/>
        <w:docPartUnique/>
      </w:docPartObj>
    </w:sdtPr>
    <w:sdtEndPr/>
    <w:sdtContent>
      <w:p w14:paraId="67FD98B1" w14:textId="428F6B74" w:rsidR="00141F89" w:rsidRDefault="00141F89">
        <w:pPr>
          <w:pStyle w:val="Pta"/>
          <w:jc w:val="center"/>
        </w:pPr>
        <w:r>
          <w:fldChar w:fldCharType="begin"/>
        </w:r>
        <w:r>
          <w:instrText>PAGE   \* MERGEFORMAT</w:instrText>
        </w:r>
        <w:r>
          <w:fldChar w:fldCharType="separate"/>
        </w:r>
        <w:r w:rsidR="0035354E">
          <w:t>2</w:t>
        </w:r>
        <w:r>
          <w:fldChar w:fldCharType="end"/>
        </w:r>
      </w:p>
    </w:sdtContent>
  </w:sdt>
  <w:p w14:paraId="7C38677C" w14:textId="77777777" w:rsidR="00141F89" w:rsidRDefault="00141F8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C3AA3" w14:textId="77777777" w:rsidR="00113055" w:rsidRDefault="00113055" w:rsidP="00914852">
      <w:pPr>
        <w:spacing w:after="0" w:line="240" w:lineRule="auto"/>
      </w:pPr>
      <w:r>
        <w:separator/>
      </w:r>
    </w:p>
  </w:footnote>
  <w:footnote w:type="continuationSeparator" w:id="0">
    <w:p w14:paraId="6C6C5FE2" w14:textId="77777777" w:rsidR="00113055" w:rsidRDefault="00113055" w:rsidP="009148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883"/>
    <w:multiLevelType w:val="hybridMultilevel"/>
    <w:tmpl w:val="BB1C967E"/>
    <w:lvl w:ilvl="0" w:tplc="041B001B">
      <w:start w:val="1"/>
      <w:numFmt w:val="lowerRoman"/>
      <w:lvlText w:val="%1."/>
      <w:lvlJc w:val="right"/>
      <w:pPr>
        <w:ind w:left="1474" w:hanging="360"/>
      </w:pPr>
    </w:lvl>
    <w:lvl w:ilvl="1" w:tplc="041B0019" w:tentative="1">
      <w:start w:val="1"/>
      <w:numFmt w:val="lowerLetter"/>
      <w:lvlText w:val="%2."/>
      <w:lvlJc w:val="left"/>
      <w:pPr>
        <w:ind w:left="2194" w:hanging="360"/>
      </w:pPr>
    </w:lvl>
    <w:lvl w:ilvl="2" w:tplc="041B001B" w:tentative="1">
      <w:start w:val="1"/>
      <w:numFmt w:val="lowerRoman"/>
      <w:lvlText w:val="%3."/>
      <w:lvlJc w:val="right"/>
      <w:pPr>
        <w:ind w:left="2914" w:hanging="180"/>
      </w:pPr>
    </w:lvl>
    <w:lvl w:ilvl="3" w:tplc="041B000F" w:tentative="1">
      <w:start w:val="1"/>
      <w:numFmt w:val="decimal"/>
      <w:lvlText w:val="%4."/>
      <w:lvlJc w:val="left"/>
      <w:pPr>
        <w:ind w:left="3634" w:hanging="360"/>
      </w:pPr>
    </w:lvl>
    <w:lvl w:ilvl="4" w:tplc="041B0019" w:tentative="1">
      <w:start w:val="1"/>
      <w:numFmt w:val="lowerLetter"/>
      <w:lvlText w:val="%5."/>
      <w:lvlJc w:val="left"/>
      <w:pPr>
        <w:ind w:left="4354" w:hanging="360"/>
      </w:pPr>
    </w:lvl>
    <w:lvl w:ilvl="5" w:tplc="041B001B" w:tentative="1">
      <w:start w:val="1"/>
      <w:numFmt w:val="lowerRoman"/>
      <w:lvlText w:val="%6."/>
      <w:lvlJc w:val="right"/>
      <w:pPr>
        <w:ind w:left="5074" w:hanging="180"/>
      </w:pPr>
    </w:lvl>
    <w:lvl w:ilvl="6" w:tplc="041B000F" w:tentative="1">
      <w:start w:val="1"/>
      <w:numFmt w:val="decimal"/>
      <w:lvlText w:val="%7."/>
      <w:lvlJc w:val="left"/>
      <w:pPr>
        <w:ind w:left="5794" w:hanging="360"/>
      </w:pPr>
    </w:lvl>
    <w:lvl w:ilvl="7" w:tplc="041B0019" w:tentative="1">
      <w:start w:val="1"/>
      <w:numFmt w:val="lowerLetter"/>
      <w:lvlText w:val="%8."/>
      <w:lvlJc w:val="left"/>
      <w:pPr>
        <w:ind w:left="6514" w:hanging="360"/>
      </w:pPr>
    </w:lvl>
    <w:lvl w:ilvl="8" w:tplc="041B001B" w:tentative="1">
      <w:start w:val="1"/>
      <w:numFmt w:val="lowerRoman"/>
      <w:lvlText w:val="%9."/>
      <w:lvlJc w:val="right"/>
      <w:pPr>
        <w:ind w:left="7234" w:hanging="180"/>
      </w:pPr>
    </w:lvl>
  </w:abstractNum>
  <w:abstractNum w:abstractNumId="1" w15:restartNumberingAfterBreak="0">
    <w:nsid w:val="1C774077"/>
    <w:multiLevelType w:val="hybridMultilevel"/>
    <w:tmpl w:val="8DC09AA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37C40F66"/>
    <w:multiLevelType w:val="hybridMultilevel"/>
    <w:tmpl w:val="065E9BC6"/>
    <w:lvl w:ilvl="0" w:tplc="C888C6F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54BD8"/>
    <w:multiLevelType w:val="hybridMultilevel"/>
    <w:tmpl w:val="744E5B9C"/>
    <w:lvl w:ilvl="0" w:tplc="3914433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71BF1"/>
    <w:multiLevelType w:val="hybridMultilevel"/>
    <w:tmpl w:val="877299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BB3AB1"/>
    <w:multiLevelType w:val="hybridMultilevel"/>
    <w:tmpl w:val="26EE0020"/>
    <w:lvl w:ilvl="0" w:tplc="377E58A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C2C02"/>
    <w:multiLevelType w:val="hybridMultilevel"/>
    <w:tmpl w:val="D682DD42"/>
    <w:lvl w:ilvl="0" w:tplc="9EF822E4">
      <w:start w:val="1"/>
      <w:numFmt w:val="upperLetter"/>
      <w:lvlText w:val="%1)"/>
      <w:lvlJc w:val="left"/>
      <w:pPr>
        <w:ind w:left="375" w:hanging="360"/>
      </w:pPr>
      <w:rPr>
        <w:rFonts w:hint="default"/>
      </w:rPr>
    </w:lvl>
    <w:lvl w:ilvl="1" w:tplc="041B0019" w:tentative="1">
      <w:start w:val="1"/>
      <w:numFmt w:val="lowerLetter"/>
      <w:lvlText w:val="%2."/>
      <w:lvlJc w:val="left"/>
      <w:pPr>
        <w:ind w:left="1095" w:hanging="360"/>
      </w:pPr>
    </w:lvl>
    <w:lvl w:ilvl="2" w:tplc="041B001B" w:tentative="1">
      <w:start w:val="1"/>
      <w:numFmt w:val="lowerRoman"/>
      <w:lvlText w:val="%3."/>
      <w:lvlJc w:val="right"/>
      <w:pPr>
        <w:ind w:left="1815" w:hanging="180"/>
      </w:pPr>
    </w:lvl>
    <w:lvl w:ilvl="3" w:tplc="041B000F" w:tentative="1">
      <w:start w:val="1"/>
      <w:numFmt w:val="decimal"/>
      <w:lvlText w:val="%4."/>
      <w:lvlJc w:val="left"/>
      <w:pPr>
        <w:ind w:left="2535" w:hanging="360"/>
      </w:pPr>
    </w:lvl>
    <w:lvl w:ilvl="4" w:tplc="041B0019" w:tentative="1">
      <w:start w:val="1"/>
      <w:numFmt w:val="lowerLetter"/>
      <w:lvlText w:val="%5."/>
      <w:lvlJc w:val="left"/>
      <w:pPr>
        <w:ind w:left="3255" w:hanging="360"/>
      </w:pPr>
    </w:lvl>
    <w:lvl w:ilvl="5" w:tplc="041B001B" w:tentative="1">
      <w:start w:val="1"/>
      <w:numFmt w:val="lowerRoman"/>
      <w:lvlText w:val="%6."/>
      <w:lvlJc w:val="right"/>
      <w:pPr>
        <w:ind w:left="3975" w:hanging="180"/>
      </w:pPr>
    </w:lvl>
    <w:lvl w:ilvl="6" w:tplc="041B000F" w:tentative="1">
      <w:start w:val="1"/>
      <w:numFmt w:val="decimal"/>
      <w:lvlText w:val="%7."/>
      <w:lvlJc w:val="left"/>
      <w:pPr>
        <w:ind w:left="4695" w:hanging="360"/>
      </w:pPr>
    </w:lvl>
    <w:lvl w:ilvl="7" w:tplc="041B0019" w:tentative="1">
      <w:start w:val="1"/>
      <w:numFmt w:val="lowerLetter"/>
      <w:lvlText w:val="%8."/>
      <w:lvlJc w:val="left"/>
      <w:pPr>
        <w:ind w:left="5415" w:hanging="360"/>
      </w:pPr>
    </w:lvl>
    <w:lvl w:ilvl="8" w:tplc="041B001B" w:tentative="1">
      <w:start w:val="1"/>
      <w:numFmt w:val="lowerRoman"/>
      <w:lvlText w:val="%9."/>
      <w:lvlJc w:val="right"/>
      <w:pPr>
        <w:ind w:left="6135" w:hanging="180"/>
      </w:pPr>
    </w:lvl>
  </w:abstractNum>
  <w:abstractNum w:abstractNumId="7" w15:restartNumberingAfterBreak="0">
    <w:nsid w:val="4F070CC0"/>
    <w:multiLevelType w:val="hybridMultilevel"/>
    <w:tmpl w:val="72B64612"/>
    <w:lvl w:ilvl="0" w:tplc="BA8E82DA">
      <w:start w:val="1"/>
      <w:numFmt w:val="bullet"/>
      <w:lvlText w:val="-"/>
      <w:lvlJc w:val="left"/>
      <w:pPr>
        <w:ind w:left="502" w:hanging="360"/>
      </w:pPr>
      <w:rPr>
        <w:rFonts w:ascii="Arial" w:eastAsia="Times New Roman"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8" w15:restartNumberingAfterBreak="0">
    <w:nsid w:val="532D3D95"/>
    <w:multiLevelType w:val="hybridMultilevel"/>
    <w:tmpl w:val="2FB6EA0A"/>
    <w:lvl w:ilvl="0" w:tplc="041B0015">
      <w:start w:val="1"/>
      <w:numFmt w:val="upperLetter"/>
      <w:lvlText w:val="%1."/>
      <w:lvlJc w:val="left"/>
      <w:pPr>
        <w:ind w:left="394" w:hanging="360"/>
      </w:pPr>
      <w:rPr>
        <w:rFonts w:hint="default"/>
      </w:rPr>
    </w:lvl>
    <w:lvl w:ilvl="1" w:tplc="041B0019">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9" w15:restartNumberingAfterBreak="0">
    <w:nsid w:val="6DC90BB5"/>
    <w:multiLevelType w:val="hybridMultilevel"/>
    <w:tmpl w:val="F472634C"/>
    <w:lvl w:ilvl="0" w:tplc="1358988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7"/>
  </w:num>
  <w:num w:numId="5">
    <w:abstractNumId w:val="2"/>
  </w:num>
  <w:num w:numId="6">
    <w:abstractNumId w:val="3"/>
  </w:num>
  <w:num w:numId="7">
    <w:abstractNumId w:val="5"/>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38"/>
    <w:rsid w:val="00011969"/>
    <w:rsid w:val="00043E2B"/>
    <w:rsid w:val="00047F01"/>
    <w:rsid w:val="0005286D"/>
    <w:rsid w:val="0005630B"/>
    <w:rsid w:val="0006401E"/>
    <w:rsid w:val="000C47D8"/>
    <w:rsid w:val="00113055"/>
    <w:rsid w:val="00141F89"/>
    <w:rsid w:val="0014657B"/>
    <w:rsid w:val="00146FEF"/>
    <w:rsid w:val="00171F01"/>
    <w:rsid w:val="001740FF"/>
    <w:rsid w:val="001A1F44"/>
    <w:rsid w:val="001A4BBB"/>
    <w:rsid w:val="001A56D5"/>
    <w:rsid w:val="001D4875"/>
    <w:rsid w:val="001E63B4"/>
    <w:rsid w:val="002152CC"/>
    <w:rsid w:val="00252C84"/>
    <w:rsid w:val="00271715"/>
    <w:rsid w:val="002B2CC6"/>
    <w:rsid w:val="002B5CEE"/>
    <w:rsid w:val="002F3905"/>
    <w:rsid w:val="003028A8"/>
    <w:rsid w:val="0035354E"/>
    <w:rsid w:val="0038263B"/>
    <w:rsid w:val="003838F5"/>
    <w:rsid w:val="003852D7"/>
    <w:rsid w:val="00392766"/>
    <w:rsid w:val="003A6E46"/>
    <w:rsid w:val="003D1468"/>
    <w:rsid w:val="003D4A40"/>
    <w:rsid w:val="003F24C7"/>
    <w:rsid w:val="00413455"/>
    <w:rsid w:val="00460EE4"/>
    <w:rsid w:val="00471D67"/>
    <w:rsid w:val="004875CC"/>
    <w:rsid w:val="004D0BD0"/>
    <w:rsid w:val="004E3435"/>
    <w:rsid w:val="004F13D2"/>
    <w:rsid w:val="00533D58"/>
    <w:rsid w:val="0056499C"/>
    <w:rsid w:val="005E47AB"/>
    <w:rsid w:val="006036B6"/>
    <w:rsid w:val="00610DD8"/>
    <w:rsid w:val="006466CF"/>
    <w:rsid w:val="006668B1"/>
    <w:rsid w:val="00667574"/>
    <w:rsid w:val="006708EC"/>
    <w:rsid w:val="006A0B37"/>
    <w:rsid w:val="006A3743"/>
    <w:rsid w:val="006D67D7"/>
    <w:rsid w:val="00707A3C"/>
    <w:rsid w:val="00714572"/>
    <w:rsid w:val="00757DDE"/>
    <w:rsid w:val="00771876"/>
    <w:rsid w:val="007968DB"/>
    <w:rsid w:val="007C42C0"/>
    <w:rsid w:val="007E1443"/>
    <w:rsid w:val="00800D32"/>
    <w:rsid w:val="008222CB"/>
    <w:rsid w:val="00823138"/>
    <w:rsid w:val="0082337B"/>
    <w:rsid w:val="00895869"/>
    <w:rsid w:val="008D041A"/>
    <w:rsid w:val="008E31E5"/>
    <w:rsid w:val="009001A0"/>
    <w:rsid w:val="00910704"/>
    <w:rsid w:val="00914852"/>
    <w:rsid w:val="009152F3"/>
    <w:rsid w:val="009279F2"/>
    <w:rsid w:val="009471D1"/>
    <w:rsid w:val="00956449"/>
    <w:rsid w:val="00970B4F"/>
    <w:rsid w:val="009E1BCB"/>
    <w:rsid w:val="009F7DA1"/>
    <w:rsid w:val="00A02133"/>
    <w:rsid w:val="00A42F1D"/>
    <w:rsid w:val="00A44267"/>
    <w:rsid w:val="00A54EA7"/>
    <w:rsid w:val="00A763FE"/>
    <w:rsid w:val="00A94192"/>
    <w:rsid w:val="00AD5960"/>
    <w:rsid w:val="00AE6ACA"/>
    <w:rsid w:val="00B148AB"/>
    <w:rsid w:val="00B17C52"/>
    <w:rsid w:val="00B25D85"/>
    <w:rsid w:val="00B45901"/>
    <w:rsid w:val="00B77FA2"/>
    <w:rsid w:val="00B9747E"/>
    <w:rsid w:val="00BC20A9"/>
    <w:rsid w:val="00BD5A64"/>
    <w:rsid w:val="00BE1E3C"/>
    <w:rsid w:val="00BE2B29"/>
    <w:rsid w:val="00BE755A"/>
    <w:rsid w:val="00C348E7"/>
    <w:rsid w:val="00C400A7"/>
    <w:rsid w:val="00C4386E"/>
    <w:rsid w:val="00C60AF9"/>
    <w:rsid w:val="00CC5FD7"/>
    <w:rsid w:val="00CE2763"/>
    <w:rsid w:val="00CE7A7C"/>
    <w:rsid w:val="00CF2D6B"/>
    <w:rsid w:val="00D27F1C"/>
    <w:rsid w:val="00D31D5A"/>
    <w:rsid w:val="00D42BE6"/>
    <w:rsid w:val="00D51492"/>
    <w:rsid w:val="00D617A6"/>
    <w:rsid w:val="00D618CD"/>
    <w:rsid w:val="00D61B92"/>
    <w:rsid w:val="00D9289A"/>
    <w:rsid w:val="00D93866"/>
    <w:rsid w:val="00DA2485"/>
    <w:rsid w:val="00DB1C2E"/>
    <w:rsid w:val="00DE7C6E"/>
    <w:rsid w:val="00E01904"/>
    <w:rsid w:val="00E27098"/>
    <w:rsid w:val="00E43799"/>
    <w:rsid w:val="00E560E2"/>
    <w:rsid w:val="00EB5DA8"/>
    <w:rsid w:val="00EB78B1"/>
    <w:rsid w:val="00ED295C"/>
    <w:rsid w:val="00EE577F"/>
    <w:rsid w:val="00EF0932"/>
    <w:rsid w:val="00EF62E2"/>
    <w:rsid w:val="00F665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BC7E"/>
  <w15:chartTrackingRefBased/>
  <w15:docId w15:val="{6F6A0393-646E-4243-9765-ABB11F03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17A6"/>
    <w:rPr>
      <w:color w:val="0563C1"/>
      <w:u w:val="single"/>
    </w:rPr>
  </w:style>
  <w:style w:type="paragraph" w:customStyle="1" w:styleId="wordsection1">
    <w:name w:val="wordsection1"/>
    <w:basedOn w:val="Normlny"/>
    <w:uiPriority w:val="99"/>
    <w:rsid w:val="00D617A6"/>
    <w:pPr>
      <w:spacing w:after="0" w:line="240" w:lineRule="auto"/>
    </w:pPr>
    <w:rPr>
      <w:rFonts w:ascii="Times New Roman" w:hAnsi="Times New Roman" w:cs="Times New Roman"/>
      <w:sz w:val="24"/>
      <w:szCs w:val="24"/>
      <w:lang w:val="en-US"/>
    </w:rPr>
  </w:style>
  <w:style w:type="paragraph" w:styleId="Textbubliny">
    <w:name w:val="Balloon Text"/>
    <w:basedOn w:val="Normlny"/>
    <w:link w:val="TextbublinyChar"/>
    <w:uiPriority w:val="99"/>
    <w:semiHidden/>
    <w:unhideWhenUsed/>
    <w:rsid w:val="00BE1E3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E1E3C"/>
    <w:rPr>
      <w:rFonts w:ascii="Segoe UI" w:hAnsi="Segoe UI" w:cs="Segoe UI"/>
      <w:noProof/>
      <w:sz w:val="18"/>
      <w:szCs w:val="18"/>
    </w:rPr>
  </w:style>
  <w:style w:type="character" w:styleId="Odkaznakomentr">
    <w:name w:val="annotation reference"/>
    <w:basedOn w:val="Predvolenpsmoodseku"/>
    <w:uiPriority w:val="99"/>
    <w:semiHidden/>
    <w:unhideWhenUsed/>
    <w:rsid w:val="00BE1E3C"/>
    <w:rPr>
      <w:sz w:val="16"/>
      <w:szCs w:val="16"/>
    </w:rPr>
  </w:style>
  <w:style w:type="paragraph" w:styleId="Textkomentra">
    <w:name w:val="annotation text"/>
    <w:basedOn w:val="Normlny"/>
    <w:link w:val="TextkomentraChar"/>
    <w:uiPriority w:val="99"/>
    <w:unhideWhenUsed/>
    <w:rsid w:val="00BE1E3C"/>
    <w:pPr>
      <w:spacing w:line="240" w:lineRule="auto"/>
    </w:pPr>
    <w:rPr>
      <w:sz w:val="20"/>
      <w:szCs w:val="20"/>
    </w:rPr>
  </w:style>
  <w:style w:type="character" w:customStyle="1" w:styleId="TextkomentraChar">
    <w:name w:val="Text komentára Char"/>
    <w:basedOn w:val="Predvolenpsmoodseku"/>
    <w:link w:val="Textkomentra"/>
    <w:uiPriority w:val="99"/>
    <w:rsid w:val="00BE1E3C"/>
    <w:rPr>
      <w:noProof/>
      <w:sz w:val="20"/>
      <w:szCs w:val="20"/>
    </w:rPr>
  </w:style>
  <w:style w:type="paragraph" w:styleId="Predmetkomentra">
    <w:name w:val="annotation subject"/>
    <w:basedOn w:val="Textkomentra"/>
    <w:next w:val="Textkomentra"/>
    <w:link w:val="PredmetkomentraChar"/>
    <w:uiPriority w:val="99"/>
    <w:semiHidden/>
    <w:unhideWhenUsed/>
    <w:rsid w:val="00BE1E3C"/>
    <w:rPr>
      <w:b/>
      <w:bCs/>
    </w:rPr>
  </w:style>
  <w:style w:type="character" w:customStyle="1" w:styleId="PredmetkomentraChar">
    <w:name w:val="Predmet komentára Char"/>
    <w:basedOn w:val="TextkomentraChar"/>
    <w:link w:val="Predmetkomentra"/>
    <w:uiPriority w:val="99"/>
    <w:semiHidden/>
    <w:rsid w:val="00BE1E3C"/>
    <w:rPr>
      <w:b/>
      <w:bCs/>
      <w:noProof/>
      <w:sz w:val="20"/>
      <w:szCs w:val="20"/>
    </w:rPr>
  </w:style>
  <w:style w:type="character" w:customStyle="1" w:styleId="OdsekzoznamuChar">
    <w:name w:val="Odsek zoznamu Char"/>
    <w:aliases w:val="body Char,Odsek zoznamu2 Char,Odsek zoznamu1 Char,Listenabsatz Char,List Paragraph Char,Odsek Char,Lettre d'introduction Char,Paragrafo elenco Char,1st level - Bullet List Paragraph Char,Odražka 1 Char,Odsek zoznamu21 Char,Dot pt Char"/>
    <w:link w:val="Odsekzoznamu"/>
    <w:uiPriority w:val="99"/>
    <w:qFormat/>
    <w:locked/>
    <w:rsid w:val="00A02133"/>
    <w:rPr>
      <w:rFonts w:ascii="Calibri" w:hAnsi="Calibri" w:cs="Calibri"/>
    </w:rPr>
  </w:style>
  <w:style w:type="paragraph" w:styleId="Odsekzoznamu">
    <w:name w:val="List Paragraph"/>
    <w:aliases w:val="body,Odsek zoznamu2,Odsek zoznamu1,Listenabsatz,List Paragraph,Odsek,Lettre d'introduction,Paragrafo elenco,1st level - Bullet List Paragraph,Odražka 1,Odsek zoznamu21,List Paragraph1,Colorful List - Accent 11,Dot pt,F5 List Paragraph"/>
    <w:basedOn w:val="Normlny"/>
    <w:link w:val="OdsekzoznamuChar"/>
    <w:uiPriority w:val="99"/>
    <w:qFormat/>
    <w:rsid w:val="00A02133"/>
    <w:pPr>
      <w:spacing w:after="0" w:line="240" w:lineRule="auto"/>
      <w:ind w:left="720"/>
      <w:contextualSpacing/>
    </w:pPr>
    <w:rPr>
      <w:rFonts w:ascii="Calibri" w:hAnsi="Calibri" w:cs="Calibri"/>
    </w:rPr>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 Char4"/>
    <w:basedOn w:val="Normlny"/>
    <w:link w:val="TextpoznmkypodiarouChar"/>
    <w:uiPriority w:val="99"/>
    <w:qFormat/>
    <w:rsid w:val="00914852"/>
    <w:pPr>
      <w:spacing w:after="0" w:line="240" w:lineRule="auto"/>
    </w:pPr>
    <w:rPr>
      <w:rFonts w:ascii="Times New Roman" w:eastAsia="Times New Roman" w:hAnsi="Times New Roman" w:cs="Times New Roman"/>
      <w:sz w:val="18"/>
      <w:szCs w:val="20"/>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 Char4 Char"/>
    <w:basedOn w:val="Predvolenpsmoodseku"/>
    <w:link w:val="Textpoznmkypodiarou"/>
    <w:uiPriority w:val="99"/>
    <w:qFormat/>
    <w:rsid w:val="00914852"/>
    <w:rPr>
      <w:rFonts w:ascii="Times New Roman" w:eastAsia="Times New Roman" w:hAnsi="Times New Roman" w:cs="Times New Roman"/>
      <w:sz w:val="18"/>
      <w:szCs w:val="20"/>
    </w:rPr>
  </w:style>
  <w:style w:type="character" w:styleId="Odkaznapoznmkupodiarou">
    <w:name w:val="footnote reference"/>
    <w:aliases w:val="Footnote symbol,Footnote,Stinking Styles1,Footnote reference number,Times 10 Point,Exposant 3 Point,Ref,de nota al pie,note TESI,SUPERS,EN Footnote text,EN Footnote Refe,FRef ISO,PGI Fußnote Ziffer,Footnotes refss,ftref,E,S"/>
    <w:link w:val="Char2"/>
    <w:uiPriority w:val="99"/>
    <w:qFormat/>
    <w:rsid w:val="00914852"/>
    <w:rPr>
      <w:vertAlign w:val="superscript"/>
    </w:rPr>
  </w:style>
  <w:style w:type="paragraph" w:customStyle="1" w:styleId="Char2">
    <w:name w:val="Char2"/>
    <w:basedOn w:val="Normlny"/>
    <w:link w:val="Odkaznapoznmkupodiarou"/>
    <w:uiPriority w:val="99"/>
    <w:qFormat/>
    <w:rsid w:val="00914852"/>
    <w:pPr>
      <w:spacing w:line="240" w:lineRule="exact"/>
    </w:pPr>
    <w:rPr>
      <w:vertAlign w:val="superscript"/>
    </w:rPr>
  </w:style>
  <w:style w:type="paragraph" w:styleId="Hlavika">
    <w:name w:val="header"/>
    <w:basedOn w:val="Normlny"/>
    <w:link w:val="HlavikaChar"/>
    <w:uiPriority w:val="99"/>
    <w:unhideWhenUsed/>
    <w:rsid w:val="00141F89"/>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141F89"/>
  </w:style>
  <w:style w:type="paragraph" w:styleId="Pta">
    <w:name w:val="footer"/>
    <w:basedOn w:val="Normlny"/>
    <w:link w:val="PtaChar"/>
    <w:uiPriority w:val="99"/>
    <w:unhideWhenUsed/>
    <w:rsid w:val="00141F89"/>
    <w:pPr>
      <w:tabs>
        <w:tab w:val="center" w:pos="4703"/>
        <w:tab w:val="right" w:pos="9406"/>
      </w:tabs>
      <w:spacing w:after="0" w:line="240" w:lineRule="auto"/>
    </w:pPr>
  </w:style>
  <w:style w:type="character" w:customStyle="1" w:styleId="PtaChar">
    <w:name w:val="Päta Char"/>
    <w:basedOn w:val="Predvolenpsmoodseku"/>
    <w:link w:val="Pta"/>
    <w:uiPriority w:val="99"/>
    <w:rsid w:val="00141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080217">
      <w:bodyDiv w:val="1"/>
      <w:marLeft w:val="0"/>
      <w:marRight w:val="0"/>
      <w:marTop w:val="0"/>
      <w:marBottom w:val="0"/>
      <w:divBdr>
        <w:top w:val="none" w:sz="0" w:space="0" w:color="auto"/>
        <w:left w:val="none" w:sz="0" w:space="0" w:color="auto"/>
        <w:bottom w:val="none" w:sz="0" w:space="0" w:color="auto"/>
        <w:right w:val="none" w:sz="0" w:space="0" w:color="auto"/>
      </w:divBdr>
    </w:div>
    <w:div w:id="720372795">
      <w:bodyDiv w:val="1"/>
      <w:marLeft w:val="0"/>
      <w:marRight w:val="0"/>
      <w:marTop w:val="0"/>
      <w:marBottom w:val="0"/>
      <w:divBdr>
        <w:top w:val="none" w:sz="0" w:space="0" w:color="auto"/>
        <w:left w:val="none" w:sz="0" w:space="0" w:color="auto"/>
        <w:bottom w:val="none" w:sz="0" w:space="0" w:color="auto"/>
        <w:right w:val="none" w:sz="0" w:space="0" w:color="auto"/>
      </w:divBdr>
    </w:div>
    <w:div w:id="959070507">
      <w:bodyDiv w:val="1"/>
      <w:marLeft w:val="0"/>
      <w:marRight w:val="0"/>
      <w:marTop w:val="0"/>
      <w:marBottom w:val="0"/>
      <w:divBdr>
        <w:top w:val="none" w:sz="0" w:space="0" w:color="auto"/>
        <w:left w:val="none" w:sz="0" w:space="0" w:color="auto"/>
        <w:bottom w:val="none" w:sz="0" w:space="0" w:color="auto"/>
        <w:right w:val="none" w:sz="0" w:space="0" w:color="auto"/>
      </w:divBdr>
    </w:div>
    <w:div w:id="1231889846">
      <w:bodyDiv w:val="1"/>
      <w:marLeft w:val="0"/>
      <w:marRight w:val="0"/>
      <w:marTop w:val="0"/>
      <w:marBottom w:val="0"/>
      <w:divBdr>
        <w:top w:val="none" w:sz="0" w:space="0" w:color="auto"/>
        <w:left w:val="none" w:sz="0" w:space="0" w:color="auto"/>
        <w:bottom w:val="none" w:sz="0" w:space="0" w:color="auto"/>
        <w:right w:val="none" w:sz="0" w:space="0" w:color="auto"/>
      </w:divBdr>
    </w:div>
    <w:div w:id="1247761067">
      <w:bodyDiv w:val="1"/>
      <w:marLeft w:val="0"/>
      <w:marRight w:val="0"/>
      <w:marTop w:val="0"/>
      <w:marBottom w:val="0"/>
      <w:divBdr>
        <w:top w:val="none" w:sz="0" w:space="0" w:color="auto"/>
        <w:left w:val="none" w:sz="0" w:space="0" w:color="auto"/>
        <w:bottom w:val="none" w:sz="0" w:space="0" w:color="auto"/>
        <w:right w:val="none" w:sz="0" w:space="0" w:color="auto"/>
      </w:divBdr>
    </w:div>
    <w:div w:id="1304892739">
      <w:bodyDiv w:val="1"/>
      <w:marLeft w:val="0"/>
      <w:marRight w:val="0"/>
      <w:marTop w:val="0"/>
      <w:marBottom w:val="0"/>
      <w:divBdr>
        <w:top w:val="none" w:sz="0" w:space="0" w:color="auto"/>
        <w:left w:val="none" w:sz="0" w:space="0" w:color="auto"/>
        <w:bottom w:val="none" w:sz="0" w:space="0" w:color="auto"/>
        <w:right w:val="none" w:sz="0" w:space="0" w:color="auto"/>
      </w:divBdr>
    </w:div>
    <w:div w:id="1731225611">
      <w:bodyDiv w:val="1"/>
      <w:marLeft w:val="0"/>
      <w:marRight w:val="0"/>
      <w:marTop w:val="0"/>
      <w:marBottom w:val="0"/>
      <w:divBdr>
        <w:top w:val="none" w:sz="0" w:space="0" w:color="auto"/>
        <w:left w:val="none" w:sz="0" w:space="0" w:color="auto"/>
        <w:bottom w:val="none" w:sz="0" w:space="0" w:color="auto"/>
        <w:right w:val="none" w:sz="0" w:space="0" w:color="auto"/>
      </w:divBdr>
    </w:div>
    <w:div w:id="19160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293E8-F20A-48DA-8102-21CA2E97D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1688</Words>
  <Characters>9624</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Hrušková Miroslava</dc:creator>
  <cp:keywords/>
  <dc:description/>
  <cp:lastModifiedBy>Hrušková Miroslava</cp:lastModifiedBy>
  <cp:revision>13</cp:revision>
  <cp:lastPrinted>2023-07-04T08:28:00Z</cp:lastPrinted>
  <dcterms:created xsi:type="dcterms:W3CDTF">2023-07-12T07:08:00Z</dcterms:created>
  <dcterms:modified xsi:type="dcterms:W3CDTF">2023-07-12T16:17:00Z</dcterms:modified>
</cp:coreProperties>
</file>