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52E4" w14:textId="77777777" w:rsidR="007702A3" w:rsidRDefault="007702A3" w:rsidP="006712E0">
      <w:pPr>
        <w:jc w:val="both"/>
      </w:pPr>
    </w:p>
    <w:p w14:paraId="3540DE6C" w14:textId="71892E13" w:rsidR="006712E0" w:rsidRPr="001A6042" w:rsidRDefault="006712E0" w:rsidP="006712E0">
      <w:pPr>
        <w:jc w:val="both"/>
        <w:rPr>
          <w:b/>
        </w:rPr>
      </w:pPr>
      <w:r w:rsidRPr="001A6042">
        <w:t xml:space="preserve">Opatrenie PSK: </w:t>
      </w:r>
      <w:r w:rsidR="00036036" w:rsidRPr="001A6042">
        <w:rPr>
          <w:b/>
        </w:rPr>
        <w:t>Opatrenie 2.5.6</w:t>
      </w:r>
      <w:r w:rsidR="00DF7FAE" w:rsidRPr="001A6042">
        <w:rPr>
          <w:b/>
        </w:rPr>
        <w:t xml:space="preserve"> </w:t>
      </w:r>
      <w:r w:rsidR="00631434" w:rsidRPr="001A6042">
        <w:rPr>
          <w:b/>
        </w:rPr>
        <w:t>Výstavba, intenzifikácia alebo modernizácia úpravní vôd</w:t>
      </w:r>
    </w:p>
    <w:p w14:paraId="14A19EE4" w14:textId="6BF737E1" w:rsidR="006712E0" w:rsidRPr="001A6042" w:rsidRDefault="006712E0" w:rsidP="006712E0">
      <w:pPr>
        <w:spacing w:after="160" w:line="259" w:lineRule="auto"/>
        <w:jc w:val="both"/>
        <w:rPr>
          <w:b/>
        </w:rPr>
      </w:pPr>
      <w:r w:rsidRPr="001A6042">
        <w:t xml:space="preserve">Oprávnená aktivita/zameranie výzvy: </w:t>
      </w:r>
      <w:r w:rsidR="00631434" w:rsidRPr="001A6042">
        <w:rPr>
          <w:b/>
        </w:rPr>
        <w:t>Výstavba, intenzifikácia alebo modernizácia úpravní vôd</w:t>
      </w: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6712E0" w:rsidRPr="00335B59" w14:paraId="7661D32C" w14:textId="77777777" w:rsidTr="007929E0">
        <w:trPr>
          <w:trHeight w:val="15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7595983" w14:textId="77777777" w:rsidR="006712E0" w:rsidRPr="00335B59" w:rsidRDefault="006712E0" w:rsidP="007929E0">
            <w:pPr>
              <w:spacing w:before="120" w:after="120"/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59CBB168" w14:textId="77777777" w:rsidR="006712E0" w:rsidRPr="00335B59" w:rsidRDefault="006712E0" w:rsidP="007929E0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Popis PPP</w:t>
            </w:r>
          </w:p>
        </w:tc>
      </w:tr>
      <w:tr w:rsidR="006712E0" w:rsidRPr="00335B59" w14:paraId="047E4071" w14:textId="77777777" w:rsidTr="007929E0">
        <w:tc>
          <w:tcPr>
            <w:tcW w:w="1413" w:type="dxa"/>
            <w:vMerge w:val="restart"/>
            <w:shd w:val="clear" w:color="auto" w:fill="70AD47" w:themeFill="accent6"/>
            <w:vAlign w:val="center"/>
          </w:tcPr>
          <w:p w14:paraId="21EF2A82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  <w:r w:rsidRPr="00335B59">
              <w:rPr>
                <w:rFonts w:ascii="Arial Narrow" w:hAnsi="Arial Narrow"/>
                <w:b/>
                <w:szCs w:val="22"/>
                <w:lang w:val="sk-SK"/>
              </w:rPr>
              <w:t xml:space="preserve">Podmienka oprávnenosti aktivít projektu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1DF45E3D" w14:textId="16F3D91C" w:rsidR="009D218C" w:rsidRPr="009D218C" w:rsidRDefault="00DD6D1A" w:rsidP="009D218C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Podpora je zameraná </w:t>
            </w:r>
            <w:r w:rsidR="00C33B78" w:rsidRPr="00C33B78">
              <w:rPr>
                <w:rFonts w:ascii="Arial Narrow" w:hAnsi="Arial Narrow"/>
                <w:szCs w:val="22"/>
                <w:lang w:val="sk-SK"/>
              </w:rPr>
              <w:t>na výstavbu</w:t>
            </w:r>
            <w:r w:rsidR="00AA5CE9" w:rsidRPr="00AA5CE9">
              <w:rPr>
                <w:rFonts w:ascii="Arial Narrow" w:hAnsi="Arial Narrow"/>
                <w:szCs w:val="22"/>
                <w:lang w:val="sk-SK"/>
              </w:rPr>
              <w:t>, intenzifikáciu alebo modernizáciu úpravní vôd za účelom zabezpečenia bezpečnej pitnej vody so zameraním na riešenie problémov najmä s eutrofizáciou vôd, antimónom, mikrobiológiou a biológiou v prípade úpravní povrchových vôd a riešenia problémov s kvalitou vody v prípade úpravní vôd pre podzemné vody</w:t>
            </w:r>
            <w:r w:rsidR="00AA5CE9">
              <w:rPr>
                <w:rFonts w:ascii="Arial Narrow" w:hAnsi="Arial Narrow"/>
                <w:szCs w:val="22"/>
                <w:lang w:val="sk-SK"/>
              </w:rPr>
              <w:t xml:space="preserve">. </w:t>
            </w:r>
            <w:bookmarkStart w:id="0" w:name="_GoBack"/>
            <w:bookmarkEnd w:id="0"/>
          </w:p>
          <w:p w14:paraId="545195AD" w14:textId="7FAE0CA2" w:rsidR="00577D38" w:rsidRDefault="00577D38" w:rsidP="007929E0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C</w:t>
            </w:r>
            <w:r w:rsidRPr="00577D38">
              <w:rPr>
                <w:rFonts w:ascii="Arial Narrow" w:hAnsi="Arial Narrow"/>
                <w:szCs w:val="22"/>
                <w:lang w:val="sk-SK"/>
              </w:rPr>
              <w:t xml:space="preserve">ieľom </w:t>
            </w:r>
            <w:r>
              <w:rPr>
                <w:rFonts w:ascii="Arial Narrow" w:hAnsi="Arial Narrow"/>
                <w:szCs w:val="22"/>
                <w:lang w:val="sk-SK"/>
              </w:rPr>
              <w:t>je plnenie</w:t>
            </w:r>
            <w:r w:rsidRPr="00577D38">
              <w:rPr>
                <w:rFonts w:ascii="Arial Narrow" w:hAnsi="Arial Narrow"/>
                <w:szCs w:val="22"/>
                <w:lang w:val="sk-SK"/>
              </w:rPr>
              <w:t xml:space="preserve"> požiadaviek vyplývajúcich </w:t>
            </w:r>
            <w:r w:rsidR="00607E9D">
              <w:rPr>
                <w:rFonts w:ascii="Arial Narrow" w:hAnsi="Arial Narrow"/>
                <w:szCs w:val="22"/>
                <w:lang w:val="sk-SK"/>
              </w:rPr>
              <w:t>smernice</w:t>
            </w:r>
            <w:r w:rsidR="00607E9D" w:rsidRPr="00607E9D">
              <w:rPr>
                <w:rFonts w:ascii="Arial Narrow" w:hAnsi="Arial Narrow"/>
                <w:szCs w:val="22"/>
                <w:lang w:val="sk-SK"/>
              </w:rPr>
              <w:t xml:space="preserve"> Európskeho parlamentu a Rady (EÚ) 2020/2184 zo 16. decembra 2020 o kvalite vody určenej na ľudskú s</w:t>
            </w:r>
            <w:r w:rsidR="008262C8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607E9D" w:rsidRPr="00607E9D">
              <w:rPr>
                <w:rFonts w:ascii="Arial Narrow" w:hAnsi="Arial Narrow"/>
                <w:szCs w:val="22"/>
                <w:lang w:val="sk-SK"/>
              </w:rPr>
              <w:t>potrebu (prepracované znenie)</w:t>
            </w:r>
            <w:r w:rsidR="00607E9D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Pr="00577D38">
              <w:rPr>
                <w:rFonts w:ascii="Arial Narrow" w:hAnsi="Arial Narrow"/>
                <w:szCs w:val="22"/>
                <w:lang w:val="sk-SK"/>
              </w:rPr>
              <w:t>a podmi</w:t>
            </w:r>
            <w:r w:rsidR="00F84A62">
              <w:rPr>
                <w:rFonts w:ascii="Arial Narrow" w:hAnsi="Arial Narrow"/>
                <w:szCs w:val="22"/>
                <w:lang w:val="sk-SK"/>
              </w:rPr>
              <w:t>enok v</w:t>
            </w:r>
            <w:r w:rsidR="00607E9D">
              <w:rPr>
                <w:rFonts w:ascii="Arial Narrow" w:hAnsi="Arial Narrow"/>
                <w:szCs w:val="22"/>
                <w:lang w:val="sk-SK"/>
              </w:rPr>
              <w:t> </w:t>
            </w:r>
            <w:r w:rsidR="00F84A62">
              <w:rPr>
                <w:rFonts w:ascii="Arial Narrow" w:hAnsi="Arial Narrow"/>
                <w:szCs w:val="22"/>
                <w:lang w:val="sk-SK"/>
              </w:rPr>
              <w:t>oblasti zásobovania obyvateľstva</w:t>
            </w:r>
            <w:r w:rsidRPr="00577D38">
              <w:rPr>
                <w:rFonts w:ascii="Arial Narrow" w:hAnsi="Arial Narrow"/>
                <w:szCs w:val="22"/>
                <w:lang w:val="sk-SK"/>
              </w:rPr>
              <w:t xml:space="preserve"> SR bezpečnou pitnou vodou z verejných vodovodov</w:t>
            </w:r>
            <w:r w:rsidR="00C822A9">
              <w:rPr>
                <w:rFonts w:ascii="Arial Narrow" w:hAnsi="Arial Narrow"/>
                <w:szCs w:val="22"/>
                <w:lang w:val="sk-SK"/>
              </w:rPr>
              <w:t xml:space="preserve"> (ďalej len „smernica Rady </w:t>
            </w:r>
            <w:r w:rsidR="00C822A9" w:rsidRPr="00C822A9">
              <w:rPr>
                <w:rFonts w:ascii="Arial Narrow" w:hAnsi="Arial Narrow"/>
                <w:szCs w:val="22"/>
                <w:lang w:val="sk-SK"/>
              </w:rPr>
              <w:t>2020/2184</w:t>
            </w:r>
            <w:r w:rsidR="00C822A9">
              <w:rPr>
                <w:rFonts w:ascii="Arial Narrow" w:hAnsi="Arial Narrow"/>
                <w:szCs w:val="22"/>
                <w:lang w:val="sk-SK"/>
              </w:rPr>
              <w:t>“)</w:t>
            </w:r>
            <w:r w:rsidR="001F2986">
              <w:rPr>
                <w:rFonts w:ascii="Arial Narrow" w:hAnsi="Arial Narrow"/>
                <w:szCs w:val="22"/>
                <w:lang w:val="sk-SK"/>
              </w:rPr>
              <w:t>.</w:t>
            </w:r>
          </w:p>
          <w:p w14:paraId="1DC6E99E" w14:textId="38BA3193" w:rsidR="006712E0" w:rsidRDefault="006712E0" w:rsidP="007929E0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Oprávnenou 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hlavnou 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aktivitou je: </w:t>
            </w:r>
          </w:p>
          <w:p w14:paraId="20FF64FF" w14:textId="4240D19E" w:rsidR="00577D38" w:rsidRPr="00E9699D" w:rsidRDefault="00AA5CE9" w:rsidP="007929E0">
            <w:pPr>
              <w:spacing w:before="120" w:after="120"/>
              <w:ind w:left="34"/>
              <w:jc w:val="both"/>
              <w:rPr>
                <w:rFonts w:ascii="Arial Narrow" w:hAnsi="Arial Narrow"/>
                <w:b/>
                <w:szCs w:val="22"/>
                <w:lang w:val="sk-SK"/>
              </w:rPr>
            </w:pPr>
            <w:r>
              <w:rPr>
                <w:rFonts w:ascii="Arial Narrow" w:hAnsi="Arial Narrow"/>
                <w:b/>
                <w:szCs w:val="22"/>
                <w:lang w:val="sk-SK"/>
              </w:rPr>
              <w:t>Výstavba, intenzifikácia</w:t>
            </w:r>
            <w:r w:rsidR="001F2986">
              <w:rPr>
                <w:rFonts w:ascii="Arial Narrow" w:hAnsi="Arial Narrow"/>
                <w:b/>
                <w:szCs w:val="22"/>
                <w:lang w:val="sk-SK"/>
              </w:rPr>
              <w:t xml:space="preserve"> alebo 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modernizácia úpravní vôd</w:t>
            </w:r>
          </w:p>
          <w:p w14:paraId="15A1851F" w14:textId="0F9699B6" w:rsidR="001F2986" w:rsidRDefault="00577D38" w:rsidP="00AC249E">
            <w:pPr>
              <w:spacing w:before="120" w:after="120"/>
              <w:ind w:left="34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577D38">
              <w:rPr>
                <w:rFonts w:ascii="Arial Narrow" w:hAnsi="Arial Narrow"/>
                <w:i/>
                <w:szCs w:val="22"/>
                <w:lang w:val="sk-SK"/>
              </w:rPr>
              <w:t>Uvede</w:t>
            </w:r>
            <w:r w:rsidR="00FC2E97">
              <w:rPr>
                <w:rFonts w:ascii="Arial Narrow" w:hAnsi="Arial Narrow"/>
                <w:i/>
                <w:szCs w:val="22"/>
                <w:lang w:val="sk-SK"/>
              </w:rPr>
              <w:t xml:space="preserve">né zahŕňa výstavbu a rozšírenie, intenzifikáciu, vrátane zvýšenia kapacity úpravní </w:t>
            </w:r>
            <w:r w:rsidR="002E1A4C">
              <w:rPr>
                <w:rFonts w:ascii="Arial Narrow" w:hAnsi="Arial Narrow"/>
                <w:i/>
                <w:szCs w:val="22"/>
                <w:lang w:val="sk-SK"/>
              </w:rPr>
              <w:t xml:space="preserve">povrchových </w:t>
            </w:r>
            <w:r w:rsidR="00FC2E97">
              <w:rPr>
                <w:rFonts w:ascii="Arial Narrow" w:hAnsi="Arial Narrow"/>
                <w:i/>
                <w:szCs w:val="22"/>
                <w:lang w:val="sk-SK"/>
              </w:rPr>
              <w:t>vôd</w:t>
            </w:r>
            <w:r w:rsidR="002E1A4C">
              <w:rPr>
                <w:rFonts w:ascii="Arial Narrow" w:hAnsi="Arial Narrow"/>
                <w:i/>
                <w:szCs w:val="22"/>
                <w:lang w:val="sk-SK"/>
              </w:rPr>
              <w:t xml:space="preserve"> a </w:t>
            </w:r>
            <w:r w:rsidR="002E1A4C" w:rsidRPr="002E1A4C">
              <w:rPr>
                <w:rFonts w:ascii="Arial Narrow" w:hAnsi="Arial Narrow"/>
                <w:i/>
                <w:szCs w:val="22"/>
                <w:lang w:val="sk-SK"/>
              </w:rPr>
              <w:t>výstavbu a rozšírenie, intenzifikáciu, vrátane zvýšenia kapacity úpravní</w:t>
            </w:r>
            <w:r w:rsidR="002E1A4C">
              <w:rPr>
                <w:rFonts w:ascii="Arial Narrow" w:hAnsi="Arial Narrow"/>
                <w:i/>
                <w:szCs w:val="22"/>
                <w:lang w:val="sk-SK"/>
              </w:rPr>
              <w:t xml:space="preserve"> podzemných vôd. </w:t>
            </w:r>
          </w:p>
          <w:p w14:paraId="3E477633" w14:textId="39613BB3" w:rsidR="0047793A" w:rsidRDefault="00C822A9" w:rsidP="009C6FEE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C822A9">
              <w:rPr>
                <w:rFonts w:ascii="Arial Narrow" w:hAnsi="Arial Narrow"/>
                <w:szCs w:val="22"/>
                <w:lang w:val="sk-SK"/>
              </w:rPr>
              <w:t>Aktivity projektu musi</w:t>
            </w:r>
            <w:r w:rsidR="00E05492">
              <w:rPr>
                <w:rFonts w:ascii="Arial Narrow" w:hAnsi="Arial Narrow"/>
                <w:szCs w:val="22"/>
                <w:lang w:val="sk-SK"/>
              </w:rPr>
              <w:t xml:space="preserve">a byť 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najmä </w:t>
            </w:r>
            <w:r w:rsidR="00E05492">
              <w:rPr>
                <w:rFonts w:ascii="Arial Narrow" w:hAnsi="Arial Narrow"/>
                <w:szCs w:val="22"/>
                <w:lang w:val="sk-SK"/>
              </w:rPr>
              <w:t>v</w:t>
            </w:r>
            <w:r w:rsidR="002E1A4C">
              <w:rPr>
                <w:rFonts w:ascii="Arial Narrow" w:hAnsi="Arial Narrow"/>
                <w:szCs w:val="22"/>
                <w:lang w:val="sk-SK"/>
              </w:rPr>
              <w:t> </w:t>
            </w:r>
            <w:r w:rsidR="00E05492">
              <w:rPr>
                <w:rFonts w:ascii="Arial Narrow" w:hAnsi="Arial Narrow"/>
                <w:szCs w:val="22"/>
                <w:lang w:val="sk-SK"/>
              </w:rPr>
              <w:t>súlade s cieľom smernice</w:t>
            </w:r>
            <w:r w:rsidRPr="00C822A9">
              <w:rPr>
                <w:rFonts w:ascii="Arial Narrow" w:hAnsi="Arial Narrow"/>
                <w:szCs w:val="22"/>
                <w:lang w:val="sk-SK"/>
              </w:rPr>
              <w:t xml:space="preserve"> Rady 2020/2184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Pr="00C822A9">
              <w:rPr>
                <w:rFonts w:ascii="Arial Narrow" w:hAnsi="Arial Narrow"/>
                <w:szCs w:val="22"/>
                <w:lang w:val="sk-SK"/>
              </w:rPr>
              <w:t>o</w:t>
            </w:r>
            <w:r>
              <w:t xml:space="preserve"> </w:t>
            </w:r>
            <w:r w:rsidRPr="00C822A9">
              <w:rPr>
                <w:rFonts w:ascii="Arial Narrow" w:hAnsi="Arial Narrow"/>
                <w:szCs w:val="22"/>
                <w:lang w:val="sk-SK"/>
              </w:rPr>
              <w:t xml:space="preserve">kvalite 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vody určenej na ľudskú spotrebu </w:t>
            </w:r>
            <w:r w:rsidRPr="00C822A9">
              <w:rPr>
                <w:rFonts w:ascii="Arial Narrow" w:hAnsi="Arial Narrow"/>
                <w:szCs w:val="22"/>
                <w:lang w:val="sk-SK"/>
              </w:rPr>
              <w:t>(prepracované znenie)</w:t>
            </w:r>
            <w:r>
              <w:rPr>
                <w:rStyle w:val="Odkaznapoznmkupodiarou"/>
                <w:rFonts w:ascii="Arial Narrow" w:hAnsi="Arial Narrow"/>
                <w:szCs w:val="22"/>
                <w:lang w:val="sk-SK"/>
              </w:rPr>
              <w:footnoteReference w:id="1"/>
            </w:r>
            <w:r>
              <w:rPr>
                <w:rFonts w:ascii="Arial Narrow" w:hAnsi="Arial Narrow"/>
                <w:szCs w:val="22"/>
                <w:lang w:val="sk-SK"/>
              </w:rPr>
              <w:t>,</w:t>
            </w:r>
            <w:r w:rsidR="002E1A4C">
              <w:rPr>
                <w:rFonts w:ascii="Arial Narrow" w:hAnsi="Arial Narrow"/>
                <w:szCs w:val="22"/>
                <w:lang w:val="sk-SK"/>
              </w:rPr>
              <w:t>s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2E1A4C" w:rsidRPr="002E1A4C">
              <w:rPr>
                <w:rFonts w:ascii="Arial Narrow" w:hAnsi="Arial Narrow"/>
                <w:szCs w:val="22"/>
                <w:lang w:val="sk-SK"/>
              </w:rPr>
              <w:t>článkom 1 odsekom 2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, </w:t>
            </w:r>
            <w:r w:rsidR="002E1A4C" w:rsidRPr="002E1A4C">
              <w:rPr>
                <w:rFonts w:ascii="Arial Narrow" w:hAnsi="Arial Narrow"/>
                <w:szCs w:val="22"/>
                <w:lang w:val="sk-SK"/>
              </w:rPr>
              <w:t>t. j. ochrániť ľudské zdravie pred nepriaznivými účinkami akejkoľvek kontaminácie vody určenej na ľudskú spotrebu zabezpečením jej zdravotnej nezávadnosti a čistoty a zlepšiť prístup k vode určenej na ľudskú spotrebu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, </w:t>
            </w:r>
            <w:r w:rsidR="00765805" w:rsidRPr="00765805">
              <w:rPr>
                <w:rFonts w:ascii="Arial Narrow" w:hAnsi="Arial Narrow"/>
                <w:szCs w:val="22"/>
                <w:lang w:val="sk-SK"/>
              </w:rPr>
              <w:t xml:space="preserve">vyhláškou </w:t>
            </w:r>
            <w:r w:rsidR="007714FB">
              <w:rPr>
                <w:rFonts w:ascii="Arial Narrow" w:hAnsi="Arial Narrow"/>
                <w:szCs w:val="22"/>
                <w:lang w:val="sk-SK"/>
              </w:rPr>
              <w:t>Ministerstva zdravotníctva</w:t>
            </w:r>
            <w:r w:rsidR="00765805" w:rsidRPr="00765805">
              <w:rPr>
                <w:rFonts w:ascii="Arial Narrow" w:hAnsi="Arial Narrow"/>
                <w:szCs w:val="22"/>
                <w:lang w:val="sk-SK"/>
              </w:rPr>
              <w:t xml:space="preserve"> SR č.</w:t>
            </w:r>
            <w:r w:rsidR="007714FB">
              <w:t xml:space="preserve"> </w:t>
            </w:r>
            <w:r w:rsidR="007714FB" w:rsidRPr="007714FB">
              <w:rPr>
                <w:rFonts w:ascii="Arial Narrow" w:hAnsi="Arial Narrow"/>
                <w:szCs w:val="22"/>
                <w:lang w:val="sk-SK"/>
              </w:rPr>
              <w:t>91/2023</w:t>
            </w:r>
            <w:r w:rsidR="00765805" w:rsidRPr="00765805">
              <w:rPr>
                <w:rFonts w:ascii="Arial Narrow" w:hAnsi="Arial Narrow"/>
                <w:szCs w:val="22"/>
                <w:lang w:val="sk-SK"/>
              </w:rPr>
              <w:t xml:space="preserve"> Z. z., </w:t>
            </w:r>
            <w:r w:rsidR="007714FB" w:rsidRPr="007714FB">
              <w:rPr>
                <w:rFonts w:ascii="Arial Narrow" w:hAnsi="Arial Narrow"/>
                <w:szCs w:val="22"/>
                <w:lang w:val="sk-SK"/>
              </w:rPr>
              <w:t>ktorou sa ustanovujú ukazovatele a limitné hodnoty kvality pitnej vody a kvality teplej vody, postup pri monitorovaní pitnej vody, manažment rizík systému zásobovania pitnou vodou a manažment rizík domových rozvodných systémov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. </w:t>
            </w:r>
            <w:r w:rsidR="00765805" w:rsidRPr="00765805">
              <w:rPr>
                <w:rFonts w:ascii="Arial Narrow" w:hAnsi="Arial Narrow"/>
                <w:szCs w:val="22"/>
                <w:lang w:val="sk-SK"/>
              </w:rPr>
              <w:t xml:space="preserve"> </w:t>
            </w:r>
          </w:p>
          <w:p w14:paraId="7CEE65A7" w14:textId="25EFA355" w:rsidR="00EB1EE7" w:rsidRDefault="00EB52F9" w:rsidP="009C6FEE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O</w:t>
            </w:r>
            <w:r w:rsidRPr="00EB52F9">
              <w:rPr>
                <w:rFonts w:ascii="Arial Narrow" w:hAnsi="Arial Narrow"/>
                <w:szCs w:val="22"/>
                <w:lang w:val="sk-SK"/>
              </w:rPr>
              <w:t xml:space="preserve">právneným žiadateľom </w:t>
            </w:r>
            <w:r>
              <w:rPr>
                <w:rFonts w:ascii="Arial Narrow" w:hAnsi="Arial Narrow"/>
                <w:szCs w:val="22"/>
                <w:lang w:val="sk-SK"/>
              </w:rPr>
              <w:t>je</w:t>
            </w:r>
            <w:r w:rsidRPr="00EB52F9">
              <w:rPr>
                <w:rFonts w:ascii="Arial Narrow" w:hAnsi="Arial Narrow"/>
                <w:szCs w:val="22"/>
                <w:lang w:val="sk-SK"/>
              </w:rPr>
              <w:t xml:space="preserve"> subjekt verejného práva podľa § 3 ods. 3 zákona č. 442/2002 Z. z. o verejných vodovodoch a verejných kanalizáciách a o zmene a doplnení zákona č. 276/2001 Z. z. o regulácii v</w:t>
            </w:r>
            <w:r>
              <w:rPr>
                <w:rFonts w:ascii="Arial Narrow" w:hAnsi="Arial Narrow"/>
                <w:szCs w:val="22"/>
                <w:lang w:val="sk-SK"/>
              </w:rPr>
              <w:t> </w:t>
            </w:r>
            <w:r w:rsidRPr="00EB52F9">
              <w:rPr>
                <w:rFonts w:ascii="Arial Narrow" w:hAnsi="Arial Narrow"/>
                <w:szCs w:val="22"/>
                <w:lang w:val="sk-SK"/>
              </w:rPr>
              <w:t>sieťových odvetviach v znení neskorších predpisov (ďa</w:t>
            </w:r>
            <w:r>
              <w:rPr>
                <w:rFonts w:ascii="Arial Narrow" w:hAnsi="Arial Narrow"/>
                <w:szCs w:val="22"/>
                <w:lang w:val="sk-SK"/>
              </w:rPr>
              <w:t>lej len „zákon 442/2002 Z. z.“), t. j.:</w:t>
            </w:r>
            <w:r w:rsidRPr="00EB52F9">
              <w:rPr>
                <w:rFonts w:ascii="Arial Narrow" w:hAnsi="Arial Narrow"/>
                <w:szCs w:val="22"/>
                <w:lang w:val="sk-SK"/>
              </w:rPr>
              <w:t xml:space="preserve"> A) obec; B) právnická osoba zriad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ená podľa osobitného predpisu*, </w:t>
            </w:r>
            <w:r w:rsidRPr="00EB52F9">
              <w:rPr>
                <w:rFonts w:ascii="Arial Narrow" w:hAnsi="Arial Narrow"/>
                <w:szCs w:val="22"/>
                <w:lang w:val="sk-SK"/>
              </w:rPr>
              <w:t>na ktorej podnikaní sa majetkovou účasťou podieľajú len obce alebo združenia obcí; C) združenie právnických osôb uvedených v písm. A. a B. *</w:t>
            </w:r>
            <w:r w:rsidRPr="00EB52F9">
              <w:rPr>
                <w:rFonts w:ascii="Arial Narrow" w:hAnsi="Arial Narrow"/>
                <w:i/>
                <w:szCs w:val="22"/>
                <w:lang w:val="sk-SK"/>
              </w:rPr>
              <w:t>Osobitným predpisom je pritom zákon č. 92/1991 Zb. o podmienkach prevodu majetku štátu na iné osoby v znení neskorších predpisov</w:t>
            </w:r>
            <w:r w:rsidRPr="00EB52F9">
              <w:rPr>
                <w:rFonts w:ascii="Arial Narrow" w:hAnsi="Arial Narrow"/>
                <w:szCs w:val="22"/>
                <w:lang w:val="sk-SK"/>
              </w:rPr>
              <w:t>.</w:t>
            </w:r>
          </w:p>
          <w:p w14:paraId="70E66635" w14:textId="5B2F53D9" w:rsidR="00B83E86" w:rsidRDefault="00765805" w:rsidP="009C6FEE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765805">
              <w:rPr>
                <w:rFonts w:ascii="Arial Narrow" w:hAnsi="Arial Narrow"/>
                <w:szCs w:val="22"/>
                <w:lang w:val="sk-SK"/>
              </w:rPr>
              <w:t xml:space="preserve">Oprávnené na poskytnutie NFP sú úpravne vôd v súlade s </w:t>
            </w:r>
            <w:r w:rsidR="0047793A" w:rsidRPr="0047793A">
              <w:rPr>
                <w:rFonts w:ascii="Arial Narrow" w:hAnsi="Arial Narrow"/>
                <w:szCs w:val="22"/>
                <w:lang w:val="sk-SK"/>
              </w:rPr>
              <w:t>Plán</w:t>
            </w:r>
            <w:r w:rsidR="00330855">
              <w:rPr>
                <w:rFonts w:ascii="Arial Narrow" w:hAnsi="Arial Narrow"/>
                <w:szCs w:val="22"/>
                <w:lang w:val="sk-SK"/>
              </w:rPr>
              <w:t>om</w:t>
            </w:r>
            <w:r w:rsidR="0047793A" w:rsidRPr="0047793A">
              <w:rPr>
                <w:rFonts w:ascii="Arial Narrow" w:hAnsi="Arial Narrow"/>
                <w:szCs w:val="22"/>
                <w:lang w:val="sk-SK"/>
              </w:rPr>
              <w:t xml:space="preserve"> rozvoja verejných vodovodov a verejných kanalizácií pre územie SR na roky 2021 </w:t>
            </w:r>
            <w:r w:rsidR="0047793A">
              <w:rPr>
                <w:rFonts w:ascii="Arial Narrow" w:hAnsi="Arial Narrow"/>
                <w:szCs w:val="22"/>
                <w:lang w:val="sk-SK"/>
              </w:rPr>
              <w:t>–</w:t>
            </w:r>
            <w:r w:rsidR="0047793A" w:rsidRPr="0047793A">
              <w:rPr>
                <w:rFonts w:ascii="Arial Narrow" w:hAnsi="Arial Narrow"/>
                <w:szCs w:val="22"/>
                <w:lang w:val="sk-SK"/>
              </w:rPr>
              <w:t xml:space="preserve"> 2027</w:t>
            </w:r>
            <w:r w:rsidR="0047793A">
              <w:rPr>
                <w:rStyle w:val="Odkaznapoznmkupodiarou"/>
                <w:rFonts w:ascii="Arial Narrow" w:hAnsi="Arial Narrow"/>
                <w:szCs w:val="22"/>
                <w:lang w:val="sk-SK"/>
              </w:rPr>
              <w:footnoteReference w:id="2"/>
            </w:r>
            <w:r w:rsidR="00330855">
              <w:rPr>
                <w:rFonts w:ascii="Arial Narrow" w:hAnsi="Arial Narrow"/>
                <w:szCs w:val="22"/>
                <w:lang w:val="sk-SK"/>
              </w:rPr>
              <w:t xml:space="preserve">, </w:t>
            </w:r>
            <w:r w:rsidR="002E1A4C" w:rsidRPr="002E1A4C">
              <w:rPr>
                <w:rFonts w:ascii="Arial Narrow" w:hAnsi="Arial Narrow"/>
                <w:szCs w:val="22"/>
                <w:lang w:val="sk-SK"/>
              </w:rPr>
              <w:t>časť Plán rozvoja verejných vodovodov pre územie Slovenskej republiky na roky 2021 – 2027, alebo s jednotlivými plánmi rozvoja verejných vodovodov pre územie kraja</w:t>
            </w:r>
            <w:r w:rsidR="002E1A4C">
              <w:rPr>
                <w:rFonts w:ascii="Arial Narrow" w:hAnsi="Arial Narrow"/>
                <w:szCs w:val="22"/>
                <w:lang w:val="sk-SK"/>
              </w:rPr>
              <w:t xml:space="preserve">. </w:t>
            </w:r>
          </w:p>
          <w:p w14:paraId="0CAC91C4" w14:textId="116386FA" w:rsidR="00EB52F9" w:rsidRDefault="00B83E86" w:rsidP="009C6FEE">
            <w:pPr>
              <w:spacing w:before="120" w:after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Prioritne bude podporovaná i</w:t>
            </w:r>
            <w:r w:rsidRPr="00B83E86">
              <w:rPr>
                <w:rFonts w:ascii="Arial Narrow" w:hAnsi="Arial Narrow"/>
                <w:szCs w:val="22"/>
                <w:lang w:val="sk-SK"/>
              </w:rPr>
              <w:t>ntenzifikácia alebo modernizácia úpravní povrchových vôd so zásobovaním pitnou vodou nad 30 000 obyvateľov</w:t>
            </w:r>
            <w:r>
              <w:rPr>
                <w:rFonts w:ascii="Arial Narrow" w:hAnsi="Arial Narrow"/>
                <w:szCs w:val="22"/>
                <w:lang w:val="sk-SK"/>
              </w:rPr>
              <w:t xml:space="preserve">. </w:t>
            </w:r>
            <w:r w:rsidR="00B849EA">
              <w:rPr>
                <w:rFonts w:ascii="Arial Narrow" w:hAnsi="Arial Narrow"/>
                <w:szCs w:val="22"/>
                <w:lang w:val="sk-SK"/>
              </w:rPr>
              <w:t>Potom</w:t>
            </w:r>
            <w:r w:rsidR="00EB52F9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D45D14">
              <w:rPr>
                <w:rFonts w:ascii="Arial Narrow" w:hAnsi="Arial Narrow"/>
                <w:szCs w:val="22"/>
                <w:lang w:val="sk-SK"/>
              </w:rPr>
              <w:t xml:space="preserve">bude </w:t>
            </w:r>
            <w:r w:rsidR="00EB52F9">
              <w:rPr>
                <w:rFonts w:ascii="Arial Narrow" w:hAnsi="Arial Narrow"/>
                <w:szCs w:val="22"/>
                <w:lang w:val="sk-SK"/>
              </w:rPr>
              <w:t>podpora projektov zameraná na intenzifikáciu alebo modernizáciu</w:t>
            </w:r>
            <w:r w:rsidR="00EB52F9" w:rsidRPr="00EB52F9">
              <w:rPr>
                <w:rFonts w:ascii="Arial Narrow" w:hAnsi="Arial Narrow"/>
                <w:szCs w:val="22"/>
                <w:lang w:val="sk-SK"/>
              </w:rPr>
              <w:t xml:space="preserve"> úpravní povrchových vôd so zásobovaním pitnou vodou do 30 000 obyvateľov</w:t>
            </w:r>
            <w:r w:rsidR="006B2464">
              <w:rPr>
                <w:rFonts w:ascii="Arial Narrow" w:hAnsi="Arial Narrow"/>
                <w:szCs w:val="22"/>
                <w:lang w:val="sk-SK"/>
              </w:rPr>
              <w:t>,</w:t>
            </w:r>
            <w:r w:rsidR="007D49CF">
              <w:rPr>
                <w:rFonts w:ascii="Arial Narrow" w:hAnsi="Arial Narrow"/>
                <w:szCs w:val="22"/>
                <w:lang w:val="sk-SK"/>
              </w:rPr>
              <w:t xml:space="preserve"> následne</w:t>
            </w:r>
            <w:r w:rsidR="00E751E0">
              <w:rPr>
                <w:rFonts w:ascii="Arial Narrow" w:hAnsi="Arial Narrow"/>
                <w:szCs w:val="22"/>
                <w:lang w:val="sk-SK"/>
              </w:rPr>
              <w:t xml:space="preserve"> bude podporená</w:t>
            </w:r>
            <w:r w:rsidR="007D49CF">
              <w:rPr>
                <w:rFonts w:ascii="Arial Narrow" w:hAnsi="Arial Narrow"/>
                <w:szCs w:val="22"/>
                <w:lang w:val="sk-SK"/>
              </w:rPr>
              <w:t xml:space="preserve"> intenzifikácia</w:t>
            </w:r>
            <w:r w:rsidR="007D49CF" w:rsidRPr="007D49CF">
              <w:rPr>
                <w:rFonts w:ascii="Arial Narrow" w:hAnsi="Arial Narrow"/>
                <w:szCs w:val="22"/>
                <w:lang w:val="sk-SK"/>
              </w:rPr>
              <w:t xml:space="preserve"> alebo modernizácia úpravní podzemných vôd</w:t>
            </w:r>
            <w:r w:rsidR="007D49CF">
              <w:rPr>
                <w:rFonts w:ascii="Arial Narrow" w:hAnsi="Arial Narrow"/>
                <w:szCs w:val="22"/>
                <w:lang w:val="sk-SK"/>
              </w:rPr>
              <w:t xml:space="preserve"> a </w:t>
            </w:r>
            <w:r w:rsidR="007D49CF" w:rsidRPr="007D49CF">
              <w:rPr>
                <w:rFonts w:ascii="Arial Narrow" w:hAnsi="Arial Narrow"/>
                <w:szCs w:val="22"/>
                <w:lang w:val="sk-SK"/>
              </w:rPr>
              <w:t>výstavba úpravní vôd</w:t>
            </w:r>
            <w:r w:rsidR="007D49CF">
              <w:rPr>
                <w:rFonts w:ascii="Arial Narrow" w:hAnsi="Arial Narrow"/>
                <w:szCs w:val="22"/>
                <w:lang w:val="sk-SK"/>
              </w:rPr>
              <w:t>.</w:t>
            </w:r>
            <w:r w:rsidR="00EB52F9">
              <w:rPr>
                <w:rFonts w:ascii="Arial Narrow" w:hAnsi="Arial Narrow"/>
                <w:szCs w:val="22"/>
                <w:lang w:val="sk-SK"/>
              </w:rPr>
              <w:t xml:space="preserve"> </w:t>
            </w:r>
          </w:p>
          <w:p w14:paraId="2ACC102D" w14:textId="27DF07A2" w:rsidR="007513F2" w:rsidRDefault="009C6FEE" w:rsidP="009D218C">
            <w:pPr>
              <w:spacing w:before="120" w:after="120"/>
              <w:jc w:val="both"/>
              <w:rPr>
                <w:rFonts w:ascii="Arial Narrow" w:hAnsi="Arial Narrow"/>
                <w:b/>
                <w:szCs w:val="22"/>
                <w:lang w:val="sk-SK"/>
              </w:rPr>
            </w:pPr>
            <w:r w:rsidRPr="009C6FEE">
              <w:rPr>
                <w:rFonts w:ascii="Arial Narrow" w:hAnsi="Arial Narrow"/>
                <w:b/>
                <w:szCs w:val="22"/>
                <w:lang w:val="sk-SK"/>
              </w:rPr>
              <w:t>Výstavba a rozšírenie obecných verejných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vodovodov nebude v rámci výzvy </w:t>
            </w:r>
            <w:r w:rsidRPr="009C6FEE">
              <w:rPr>
                <w:rFonts w:ascii="Arial Narrow" w:hAnsi="Arial Narrow"/>
                <w:b/>
                <w:szCs w:val="22"/>
                <w:lang w:val="sk-SK"/>
              </w:rPr>
              <w:t>predmetom podpory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. </w:t>
            </w:r>
          </w:p>
          <w:p w14:paraId="3FEC7DFE" w14:textId="77777777" w:rsidR="0005787B" w:rsidRPr="00FE3DC3" w:rsidRDefault="0005787B" w:rsidP="0005787B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FE3DC3">
              <w:rPr>
                <w:rFonts w:ascii="Arial Narrow" w:hAnsi="Arial Narrow"/>
                <w:b/>
                <w:szCs w:val="22"/>
              </w:rPr>
              <w:t>----------------------------------------------------------------------------------------</w:t>
            </w:r>
          </w:p>
          <w:p w14:paraId="6EAA4C5E" w14:textId="77777777" w:rsidR="0005787B" w:rsidRPr="00C90A12" w:rsidRDefault="0005787B" w:rsidP="0005787B">
            <w:pPr>
              <w:spacing w:before="120" w:after="120"/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C90A12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Výstupy/výsledky, ktoré majú byť dosiahnuté realizáciou aktivít projektu, musia byť kvantifikované prostredníctvom merateľných ukazovateľov definovaných v dokumente </w:t>
            </w:r>
            <w:r w:rsidRPr="00C90A12">
              <w:rPr>
                <w:rFonts w:ascii="Arial Narrow" w:hAnsi="Arial Narrow" w:cs="EUAlbertina-Bold"/>
                <w:b/>
                <w:bCs/>
                <w:i/>
                <w:szCs w:val="22"/>
                <w:lang w:val="sk-SK"/>
              </w:rPr>
              <w:t>Zoznam povinných merateľných ukazovateľov projektu, vrátane ukazovateľov relevantných k horizontálnym princípom</w:t>
            </w:r>
            <w:r w:rsidRPr="00C90A12">
              <w:rPr>
                <w:rFonts w:ascii="Arial Narrow" w:hAnsi="Arial Narrow" w:cs="EUAlbertina-Bold"/>
                <w:bCs/>
                <w:szCs w:val="22"/>
                <w:lang w:val="sk-SK"/>
              </w:rPr>
              <w:t>, ktorý tvorí prílohu č. 3 výzvy.</w:t>
            </w:r>
          </w:p>
          <w:p w14:paraId="5490710B" w14:textId="77777777" w:rsidR="006712E0" w:rsidRDefault="0005787B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 w:rsidRPr="00C90A12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Podmienkou poskytnutia príspevku je </w:t>
            </w:r>
            <w:r w:rsidRPr="00C90A12">
              <w:rPr>
                <w:rFonts w:ascii="Arial Narrow" w:hAnsi="Arial Narrow"/>
                <w:lang w:val="sk-SK"/>
              </w:rPr>
              <w:t>stanovenie nenulových cieľových hodnôt relevantných merateľných ukazovateľov</w:t>
            </w:r>
            <w:r w:rsidRPr="00C90A12">
              <w:rPr>
                <w:rFonts w:ascii="Arial Narrow" w:hAnsi="Arial Narrow" w:cs="EUAlbertina-Bold"/>
                <w:bCs/>
                <w:szCs w:val="22"/>
                <w:lang w:val="sk-SK"/>
              </w:rPr>
              <w:t>.</w:t>
            </w:r>
          </w:p>
          <w:p w14:paraId="6D68C7B0" w14:textId="77777777" w:rsidR="002E1A4C" w:rsidRDefault="002E1A4C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</w:p>
          <w:p w14:paraId="0B061EE2" w14:textId="3D454619" w:rsidR="002E1A4C" w:rsidRDefault="002E1A4C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Ukazovatele budú </w:t>
            </w:r>
            <w:r w:rsidR="007C0E93">
              <w:rPr>
                <w:rFonts w:ascii="Arial Narrow" w:hAnsi="Arial Narrow" w:cs="EUAlbertina-Bold"/>
                <w:bCs/>
                <w:szCs w:val="22"/>
                <w:lang w:val="sk-SK"/>
              </w:rPr>
              <w:t>spresnené</w:t>
            </w:r>
            <w:r w:rsidR="0016567B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 </w:t>
            </w: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vo výzve: </w:t>
            </w:r>
          </w:p>
          <w:p w14:paraId="61ED9B6C" w14:textId="73706ACD" w:rsidR="00223D4E" w:rsidRDefault="00223D4E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</w:p>
          <w:p w14:paraId="580ECB4D" w14:textId="60EA9CA1" w:rsidR="002E1A4C" w:rsidRDefault="00223D4E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Ukazovateľ </w:t>
            </w:r>
            <w:r w:rsidR="00073F13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výstupu </w:t>
            </w:r>
            <w:r w:rsidR="00073F13" w:rsidRPr="00073F13">
              <w:rPr>
                <w:rFonts w:ascii="Arial Narrow" w:hAnsi="Arial Narrow" w:cs="EUAlbertina-Bold"/>
                <w:bCs/>
                <w:szCs w:val="22"/>
                <w:lang w:val="sk-SK"/>
              </w:rPr>
              <w:t xml:space="preserve">„Nová alebo intenzifikovaná alebo modernizovaná kapacita úpravne vôd“ </w:t>
            </w:r>
            <w:r w:rsidR="00073F13">
              <w:rPr>
                <w:rFonts w:ascii="Arial Narrow" w:hAnsi="Arial Narrow" w:cs="EUAlbertina-Bold"/>
                <w:bCs/>
                <w:szCs w:val="22"/>
                <w:lang w:val="sk-SK"/>
              </w:rPr>
              <w:t>(osoby)</w:t>
            </w:r>
            <w:r w:rsidR="0016567B">
              <w:rPr>
                <w:rFonts w:ascii="Arial Narrow" w:hAnsi="Arial Narrow" w:cs="EUAlbertina-Bold"/>
                <w:bCs/>
                <w:szCs w:val="22"/>
                <w:lang w:val="sk-SK"/>
              </w:rPr>
              <w:t>.</w:t>
            </w:r>
          </w:p>
          <w:p w14:paraId="3C589F98" w14:textId="6E36F595" w:rsidR="00073F13" w:rsidRDefault="00073F13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>Ukazovateľ výsledku „</w:t>
            </w:r>
            <w:r w:rsidRPr="00073F13">
              <w:rPr>
                <w:rFonts w:ascii="Arial Narrow" w:hAnsi="Arial Narrow" w:cs="EUAlbertina-Bold"/>
                <w:bCs/>
                <w:szCs w:val="22"/>
                <w:lang w:val="sk-SK"/>
              </w:rPr>
              <w:t>Populácia pripojená na vylepšené verejné zásobovanie vodou</w:t>
            </w:r>
            <w:r>
              <w:rPr>
                <w:rFonts w:ascii="Arial Narrow" w:hAnsi="Arial Narrow" w:cs="EUAlbertina-Bold"/>
                <w:bCs/>
                <w:szCs w:val="22"/>
                <w:lang w:val="sk-SK"/>
              </w:rPr>
              <w:t>“ (osoby)</w:t>
            </w:r>
            <w:r w:rsidR="0016567B">
              <w:rPr>
                <w:rFonts w:ascii="Arial Narrow" w:hAnsi="Arial Narrow" w:cs="EUAlbertina-Bold"/>
                <w:bCs/>
                <w:szCs w:val="22"/>
                <w:lang w:val="sk-SK"/>
              </w:rPr>
              <w:t>.</w:t>
            </w:r>
          </w:p>
          <w:p w14:paraId="05C227D1" w14:textId="1A9A4D1A" w:rsidR="002E1A4C" w:rsidRPr="00A65BB8" w:rsidRDefault="002E1A4C" w:rsidP="00A65BB8">
            <w:pPr>
              <w:jc w:val="both"/>
              <w:rPr>
                <w:rFonts w:ascii="Arial Narrow" w:hAnsi="Arial Narrow" w:cs="EUAlbertina-Bold"/>
                <w:bCs/>
                <w:szCs w:val="22"/>
                <w:lang w:val="sk-SK"/>
              </w:rPr>
            </w:pPr>
          </w:p>
        </w:tc>
      </w:tr>
      <w:tr w:rsidR="006712E0" w:rsidRPr="00335B59" w14:paraId="7D24B113" w14:textId="77777777" w:rsidTr="007929E0">
        <w:trPr>
          <w:trHeight w:val="49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7A7AD569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555A1D59" w14:textId="77FAB105" w:rsidR="006712E0" w:rsidRPr="00335B59" w:rsidRDefault="006712E0" w:rsidP="007929E0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Forma preukázania splnenia PPP</w:t>
            </w:r>
            <w:r w:rsidR="00856DCC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 týkajúcej sa oprávnenosti aktivít</w:t>
            </w: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 zo strany žiadateľa</w:t>
            </w:r>
          </w:p>
        </w:tc>
      </w:tr>
      <w:tr w:rsidR="006712E0" w:rsidRPr="00335B59" w14:paraId="7B478421" w14:textId="77777777" w:rsidTr="007929E0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03AA2CA1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7A084FBF" w14:textId="77777777" w:rsidR="00A65BB8" w:rsidRPr="00335B59" w:rsidRDefault="00A65BB8" w:rsidP="00A65BB8">
            <w:pPr>
              <w:spacing w:before="120"/>
              <w:ind w:left="34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Žiadateľ preukazuje splnenie PPP prostredníctvom:</w:t>
            </w:r>
          </w:p>
          <w:p w14:paraId="2BE84BEC" w14:textId="46F3783F" w:rsidR="00A65BB8" w:rsidRDefault="00A65BB8" w:rsidP="00A65BB8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f</w:t>
            </w:r>
            <w:r w:rsidRPr="00335B59">
              <w:rPr>
                <w:rFonts w:ascii="Arial Narrow" w:hAnsi="Arial Narrow"/>
                <w:szCs w:val="22"/>
                <w:lang w:val="sk-SK"/>
              </w:rPr>
              <w:t>ormulára ŽoNFP</w:t>
            </w:r>
            <w:r w:rsidR="001358F7">
              <w:rPr>
                <w:rFonts w:ascii="Arial Narrow" w:hAnsi="Arial Narrow"/>
                <w:szCs w:val="22"/>
                <w:lang w:val="sk-SK"/>
              </w:rPr>
              <w:t>,</w:t>
            </w:r>
          </w:p>
          <w:p w14:paraId="0B2649E9" w14:textId="44422548" w:rsidR="00FB7AA3" w:rsidRPr="002A79C2" w:rsidRDefault="00A65BB8" w:rsidP="00856DCC">
            <w:pPr>
              <w:pStyle w:val="Odsekzoznamu"/>
              <w:numPr>
                <w:ilvl w:val="0"/>
                <w:numId w:val="6"/>
              </w:numPr>
              <w:spacing w:before="120"/>
              <w:ind w:left="284" w:hanging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2A79C2">
              <w:rPr>
                <w:rFonts w:ascii="Arial Narrow" w:hAnsi="Arial Narrow"/>
                <w:szCs w:val="22"/>
                <w:lang w:val="sk-SK"/>
              </w:rPr>
              <w:t>prílohy k</w:t>
            </w:r>
            <w:r w:rsidR="001358F7">
              <w:rPr>
                <w:rFonts w:ascii="Arial Narrow" w:hAnsi="Arial Narrow"/>
                <w:szCs w:val="22"/>
                <w:lang w:val="sk-SK"/>
              </w:rPr>
              <w:t> </w:t>
            </w:r>
            <w:r w:rsidRPr="002A79C2">
              <w:rPr>
                <w:rFonts w:ascii="Arial Narrow" w:hAnsi="Arial Narrow"/>
                <w:szCs w:val="22"/>
                <w:lang w:val="sk-SK"/>
              </w:rPr>
              <w:t>ŽoNFP</w:t>
            </w:r>
            <w:r w:rsidR="001358F7">
              <w:rPr>
                <w:rFonts w:ascii="Arial Narrow" w:hAnsi="Arial Narrow"/>
                <w:szCs w:val="22"/>
                <w:lang w:val="sk-SK"/>
              </w:rPr>
              <w:t>.</w:t>
            </w:r>
          </w:p>
          <w:p w14:paraId="1F397B9A" w14:textId="7F2009D6" w:rsidR="00856DCC" w:rsidRPr="00856DCC" w:rsidRDefault="00856DCC" w:rsidP="00856DCC">
            <w:pPr>
              <w:pStyle w:val="Odsekzoznamu"/>
              <w:spacing w:before="120"/>
              <w:ind w:left="284"/>
              <w:contextualSpacing w:val="0"/>
              <w:jc w:val="both"/>
              <w:rPr>
                <w:rFonts w:ascii="Arial Narrow" w:hAnsi="Arial Narrow"/>
                <w:szCs w:val="22"/>
                <w:lang w:val="sk-SK"/>
              </w:rPr>
            </w:pPr>
          </w:p>
        </w:tc>
      </w:tr>
      <w:tr w:rsidR="006712E0" w:rsidRPr="00335B59" w14:paraId="19AB20B1" w14:textId="77777777" w:rsidTr="007929E0">
        <w:trPr>
          <w:trHeight w:val="45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01A4E73E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E47F5BD" w14:textId="77777777" w:rsidR="006712E0" w:rsidRPr="00335B59" w:rsidRDefault="006712E0" w:rsidP="007929E0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predloženia prílohy</w:t>
            </w:r>
          </w:p>
        </w:tc>
      </w:tr>
      <w:tr w:rsidR="006712E0" w:rsidRPr="00335B59" w14:paraId="293E51C7" w14:textId="77777777" w:rsidTr="007929E0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511DAC9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133BF4A" w14:textId="6D93E2B3" w:rsidR="006712E0" w:rsidRPr="00335B59" w:rsidRDefault="00A65BB8" w:rsidP="007929E0">
            <w:pPr>
              <w:spacing w:before="120"/>
              <w:jc w:val="both"/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Prílohy </w:t>
            </w:r>
            <w:r w:rsidR="006712E0" w:rsidRPr="00335B59">
              <w:rPr>
                <w:rFonts w:ascii="Arial Narrow" w:hAnsi="Arial Narrow"/>
                <w:szCs w:val="22"/>
                <w:lang w:val="sk-SK"/>
              </w:rPr>
              <w:t>predkladá žiadateľ prostredníctvom ITMS ako sken</w:t>
            </w:r>
            <w:r w:rsidR="006712E0">
              <w:rPr>
                <w:rFonts w:ascii="Arial Narrow" w:hAnsi="Arial Narrow"/>
                <w:szCs w:val="22"/>
                <w:lang w:val="sk-SK"/>
              </w:rPr>
              <w:t xml:space="preserve"> </w:t>
            </w:r>
            <w:r w:rsidR="006712E0" w:rsidRPr="00335B59">
              <w:rPr>
                <w:rFonts w:ascii="Arial Narrow" w:hAnsi="Arial Narrow"/>
                <w:szCs w:val="22"/>
                <w:lang w:val="sk-SK"/>
              </w:rPr>
              <w:t>v takom rozlíšení, ktoré umožní rozpoznanie jej obsahu.</w:t>
            </w:r>
          </w:p>
        </w:tc>
      </w:tr>
      <w:tr w:rsidR="006712E0" w:rsidRPr="00335B59" w14:paraId="2D8840F1" w14:textId="77777777" w:rsidTr="007929E0">
        <w:trPr>
          <w:trHeight w:val="460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6D3F53E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1C741CF9" w14:textId="77777777" w:rsidR="006712E0" w:rsidRPr="00335B59" w:rsidRDefault="006712E0" w:rsidP="007929E0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>Spôsob overovania PPP zo strany poskytovateľa</w:t>
            </w:r>
          </w:p>
        </w:tc>
      </w:tr>
      <w:tr w:rsidR="006712E0" w:rsidRPr="00335B59" w14:paraId="7DC32D06" w14:textId="77777777" w:rsidTr="007929E0">
        <w:tc>
          <w:tcPr>
            <w:tcW w:w="1413" w:type="dxa"/>
            <w:vMerge/>
            <w:shd w:val="clear" w:color="auto" w:fill="70AD47" w:themeFill="accent6"/>
            <w:vAlign w:val="center"/>
          </w:tcPr>
          <w:p w14:paraId="5F303823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0D3BCDEA" w14:textId="77777777" w:rsidR="00856DCC" w:rsidRPr="00335B59" w:rsidRDefault="00856DCC" w:rsidP="00856DCC">
            <w:pPr>
              <w:spacing w:after="80" w:line="242" w:lineRule="auto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Poskytovateľ na overenie splnenia PPP využíva:</w:t>
            </w:r>
          </w:p>
          <w:p w14:paraId="4A5734CB" w14:textId="77777777" w:rsidR="00856DCC" w:rsidRPr="00DF2EA9" w:rsidRDefault="00856DCC" w:rsidP="00856DCC">
            <w:pPr>
              <w:spacing w:before="120"/>
              <w:ind w:left="680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DF2EA9">
              <w:rPr>
                <w:rFonts w:ascii="Arial Narrow" w:hAnsi="Arial Narrow"/>
              </w:rPr>
              <w:t xml:space="preserve">- </w:t>
            </w:r>
            <w:r w:rsidRPr="00DF2EA9">
              <w:rPr>
                <w:rFonts w:ascii="Arial Narrow" w:hAnsi="Arial Narrow"/>
                <w:szCs w:val="22"/>
              </w:rPr>
              <w:t>formulár ŽoNFP</w:t>
            </w:r>
          </w:p>
          <w:p w14:paraId="55CB9294" w14:textId="0E911EB9" w:rsidR="006712E0" w:rsidRPr="00383B1E" w:rsidRDefault="00856DCC" w:rsidP="00856DCC">
            <w:pPr>
              <w:pStyle w:val="Odsekzoznamu"/>
              <w:spacing w:before="120" w:after="120"/>
              <w:ind w:left="-17"/>
              <w:contextualSpacing w:val="0"/>
              <w:jc w:val="both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               - </w:t>
            </w:r>
            <w:r w:rsidRPr="00383B1E">
              <w:rPr>
                <w:rFonts w:ascii="Arial Narrow" w:hAnsi="Arial Narrow"/>
                <w:lang w:val="sk-SK"/>
              </w:rPr>
              <w:t>príloh</w:t>
            </w:r>
            <w:r>
              <w:rPr>
                <w:rFonts w:ascii="Arial Narrow" w:hAnsi="Arial Narrow"/>
                <w:lang w:val="sk-SK"/>
              </w:rPr>
              <w:t>u</w:t>
            </w:r>
            <w:r w:rsidRPr="00383B1E">
              <w:rPr>
                <w:rFonts w:ascii="Arial Narrow" w:hAnsi="Arial Narrow"/>
                <w:lang w:val="sk-SK"/>
              </w:rPr>
              <w:t xml:space="preserve"> č. XY výzvy</w:t>
            </w:r>
            <w:r>
              <w:rPr>
                <w:rFonts w:ascii="Arial Narrow" w:hAnsi="Arial Narrow"/>
                <w:lang w:val="sk-SK"/>
              </w:rPr>
              <w:t>.</w:t>
            </w:r>
            <w:r w:rsidR="006712E0">
              <w:rPr>
                <w:rFonts w:ascii="Arial Narrow" w:hAnsi="Arial Narrow"/>
                <w:lang w:val="sk-SK"/>
              </w:rPr>
              <w:t>.</w:t>
            </w:r>
          </w:p>
        </w:tc>
      </w:tr>
      <w:tr w:rsidR="006712E0" w:rsidRPr="00335B59" w14:paraId="2E9955D7" w14:textId="77777777" w:rsidTr="007929E0">
        <w:trPr>
          <w:trHeight w:val="414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43A349A6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shd w:val="clear" w:color="auto" w:fill="538135" w:themeFill="accent6" w:themeFillShade="BF"/>
            <w:vAlign w:val="center"/>
          </w:tcPr>
          <w:p w14:paraId="6A4D328E" w14:textId="77777777" w:rsidR="006712E0" w:rsidRPr="00335B59" w:rsidRDefault="006712E0" w:rsidP="007929E0">
            <w:pPr>
              <w:rPr>
                <w:rFonts w:ascii="Arial Narrow" w:hAnsi="Arial Narrow"/>
                <w:color w:val="FFFFFF" w:themeColor="background1"/>
                <w:szCs w:val="22"/>
                <w:lang w:val="sk-SK"/>
              </w:rPr>
            </w:pPr>
            <w:r w:rsidRPr="00335B59">
              <w:rPr>
                <w:rFonts w:ascii="Arial Narrow" w:hAnsi="Arial Narrow"/>
                <w:color w:val="FFFFFF" w:themeColor="background1"/>
                <w:szCs w:val="22"/>
                <w:lang w:val="sk-SK"/>
              </w:rPr>
              <w:t xml:space="preserve">Doba plnenia/overenia PPP </w:t>
            </w:r>
          </w:p>
        </w:tc>
      </w:tr>
      <w:tr w:rsidR="006712E0" w:rsidRPr="00335B59" w14:paraId="135F68EB" w14:textId="77777777" w:rsidTr="007929E0">
        <w:trPr>
          <w:trHeight w:val="1229"/>
        </w:trPr>
        <w:tc>
          <w:tcPr>
            <w:tcW w:w="1413" w:type="dxa"/>
            <w:vMerge/>
            <w:shd w:val="clear" w:color="auto" w:fill="70AD47" w:themeFill="accent6"/>
            <w:vAlign w:val="center"/>
          </w:tcPr>
          <w:p w14:paraId="4B7EF44B" w14:textId="77777777" w:rsidR="006712E0" w:rsidRPr="00335B59" w:rsidRDefault="006712E0" w:rsidP="007929E0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</w:tc>
        <w:tc>
          <w:tcPr>
            <w:tcW w:w="7796" w:type="dxa"/>
            <w:vAlign w:val="center"/>
          </w:tcPr>
          <w:p w14:paraId="606EBD42" w14:textId="41B08645" w:rsidR="006712E0" w:rsidRPr="00335B59" w:rsidRDefault="006712E0" w:rsidP="007929E0">
            <w:pPr>
              <w:spacing w:after="80" w:line="242" w:lineRule="auto"/>
              <w:jc w:val="both"/>
              <w:rPr>
                <w:rFonts w:ascii="Arial Narrow" w:hAnsi="Arial Narrow"/>
                <w:szCs w:val="22"/>
                <w:lang w:val="sk-SK"/>
              </w:rPr>
            </w:pPr>
            <w:r w:rsidRPr="00335B59">
              <w:rPr>
                <w:rFonts w:ascii="Arial Narrow" w:hAnsi="Arial Narrow"/>
                <w:szCs w:val="22"/>
                <w:lang w:val="sk-SK"/>
              </w:rPr>
              <w:t>PPP sa overuje v konaní o žiadosti, a je potrebné ju plniť kontinuálne počas realizácie projektu a obdobia jeho udržateľnosti</w:t>
            </w:r>
            <w:r w:rsidRPr="00335B59">
              <w:rPr>
                <w:rStyle w:val="Odkaznapoznmkupodiarou"/>
                <w:rFonts w:ascii="Arial Narrow" w:hAnsi="Arial Narrow"/>
                <w:szCs w:val="22"/>
                <w:lang w:val="sk-SK"/>
              </w:rPr>
              <w:footnoteReference w:id="3"/>
            </w:r>
            <w:r w:rsidRPr="00335B59">
              <w:rPr>
                <w:rFonts w:ascii="Arial Narrow" w:hAnsi="Arial Narrow"/>
                <w:szCs w:val="22"/>
                <w:lang w:val="sk-SK"/>
              </w:rPr>
              <w:t>.</w:t>
            </w:r>
          </w:p>
        </w:tc>
      </w:tr>
    </w:tbl>
    <w:p w14:paraId="45F045F1" w14:textId="104CBBB3" w:rsidR="00D63367" w:rsidRDefault="00D63367" w:rsidP="006D3354">
      <w:pPr>
        <w:spacing w:after="160" w:line="259" w:lineRule="auto"/>
        <w:jc w:val="both"/>
      </w:pPr>
    </w:p>
    <w:p w14:paraId="51D8FB37" w14:textId="77777777" w:rsidR="000024F6" w:rsidRDefault="000024F6" w:rsidP="000024F6">
      <w:pPr>
        <w:spacing w:after="160" w:line="259" w:lineRule="auto"/>
        <w:jc w:val="both"/>
      </w:pPr>
      <w:r>
        <w:t xml:space="preserve">Dotazník splnenia </w:t>
      </w:r>
      <w:r w:rsidRPr="00ED160B">
        <w:t xml:space="preserve">základnej podmienky v zmysle </w:t>
      </w:r>
      <w:r>
        <w:t xml:space="preserve">prílohy IV </w:t>
      </w:r>
      <w:r w:rsidRPr="00ED160B">
        <w:t>Nariadenia Európskeho parlamentu a Rady (EÚ) 2021/1060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24F6" w14:paraId="311072C2" w14:textId="77777777" w:rsidTr="00264A8C">
        <w:tc>
          <w:tcPr>
            <w:tcW w:w="2265" w:type="dxa"/>
            <w:shd w:val="clear" w:color="auto" w:fill="FFE599" w:themeFill="accent4" w:themeFillTint="66"/>
          </w:tcPr>
          <w:p w14:paraId="0C2A5FED" w14:textId="77777777" w:rsidR="000024F6" w:rsidRPr="00DD6C63" w:rsidRDefault="000024F6" w:rsidP="00264A8C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Názov základnej podmienky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relevantnej pre ŠC 2.5 v zmysle Nariadenia</w:t>
            </w:r>
            <w:r w:rsidRPr="00ED160B">
              <w:rPr>
                <w:rFonts w:ascii="Arial Narrow" w:hAnsi="Arial Narrow"/>
                <w:b/>
                <w:szCs w:val="22"/>
                <w:lang w:val="sk-SK"/>
              </w:rPr>
              <w:t xml:space="preserve"> Európskeho parlamentu a Rady (EÚ)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 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2021/1060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14:paraId="50AEACA3" w14:textId="77777777" w:rsidR="000024F6" w:rsidRPr="00DD6C63" w:rsidRDefault="000024F6" w:rsidP="00264A8C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Kritériá splnenia základnej podmienky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5821C321" w14:textId="77777777" w:rsidR="000024F6" w:rsidRPr="00DD6C63" w:rsidRDefault="000024F6" w:rsidP="00264A8C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 xml:space="preserve">Bude nastavením 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Podmienk</w:t>
            </w: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y oprávnenosti aktivít projektu zabezpečené splnenie základnej podmienky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>?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2247A1A1" w14:textId="77777777" w:rsidR="000024F6" w:rsidRPr="00DD6C63" w:rsidRDefault="000024F6" w:rsidP="00264A8C">
            <w:pPr>
              <w:jc w:val="center"/>
              <w:rPr>
                <w:rFonts w:ascii="Arial Narrow" w:hAnsi="Arial Narrow"/>
                <w:b/>
                <w:szCs w:val="22"/>
                <w:lang w:val="sk-SK"/>
              </w:rPr>
            </w:pPr>
            <w:r w:rsidRPr="00DD6C63">
              <w:rPr>
                <w:rFonts w:ascii="Arial Narrow" w:hAnsi="Arial Narrow"/>
                <w:b/>
                <w:szCs w:val="22"/>
                <w:lang w:val="sk-SK"/>
              </w:rPr>
              <w:t>Slovné zdôvodnenie</w:t>
            </w:r>
          </w:p>
        </w:tc>
      </w:tr>
      <w:tr w:rsidR="000024F6" w14:paraId="32419F90" w14:textId="77777777" w:rsidTr="00264A8C">
        <w:trPr>
          <w:trHeight w:val="1132"/>
        </w:trPr>
        <w:tc>
          <w:tcPr>
            <w:tcW w:w="2265" w:type="dxa"/>
          </w:tcPr>
          <w:p w14:paraId="5F0F4B13" w14:textId="77777777" w:rsidR="000024F6" w:rsidRPr="00ED160B" w:rsidRDefault="000024F6" w:rsidP="00264A8C">
            <w:pPr>
              <w:rPr>
                <w:rFonts w:ascii="Arial Narrow" w:hAnsi="Arial Narrow"/>
                <w:szCs w:val="22"/>
                <w:lang w:val="sk-SK"/>
              </w:rPr>
            </w:pPr>
            <w:r w:rsidRPr="009B0717">
              <w:rPr>
                <w:rFonts w:ascii="Arial Narrow" w:hAnsi="Arial Narrow"/>
                <w:szCs w:val="22"/>
                <w:lang w:val="sk-SK"/>
              </w:rPr>
              <w:t>2.5 Aktualizované plánovanie potrebných investícií do odvetvia vodohospodárstva a odpadových vôd</w:t>
            </w:r>
          </w:p>
        </w:tc>
        <w:tc>
          <w:tcPr>
            <w:tcW w:w="2265" w:type="dxa"/>
          </w:tcPr>
          <w:p w14:paraId="68C0067F" w14:textId="77777777" w:rsidR="000024F6" w:rsidRDefault="000024F6" w:rsidP="00264A8C">
            <w:pPr>
              <w:pStyle w:val="oj-tbl-txt"/>
              <w:shd w:val="clear" w:color="auto" w:fill="FFFFFF"/>
              <w:rPr>
                <w:rFonts w:ascii="Arial Narrow" w:hAnsi="Arial Narrow"/>
                <w:sz w:val="20"/>
                <w:szCs w:val="22"/>
                <w:lang w:val="sk-SK" w:eastAsia="en-AU"/>
              </w:rPr>
            </w:pPr>
            <w:r w:rsidRPr="00F201BA">
              <w:rPr>
                <w:rFonts w:ascii="Arial Narrow" w:hAnsi="Arial Narrow"/>
                <w:sz w:val="20"/>
                <w:szCs w:val="22"/>
                <w:lang w:val="sk-SK" w:eastAsia="en-AU"/>
              </w:rPr>
              <w:t>Pre každé z odvetví alebo pre obe odvetvia (poznámka: ide o sektor zásobovania pitnou vodou a sektor nakladania s odpadovou vodou) je zavedený národný investičný plán, ktorý zahŕňa:</w:t>
            </w:r>
          </w:p>
          <w:p w14:paraId="29C613E0" w14:textId="77777777" w:rsidR="000024F6" w:rsidRDefault="000024F6" w:rsidP="00264A8C">
            <w:pPr>
              <w:pStyle w:val="oj-tbl-t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2"/>
                <w:lang w:val="sk-SK" w:eastAsia="en-AU"/>
              </w:rPr>
            </w:pPr>
            <w:r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Kritérium 2. </w:t>
            </w:r>
          </w:p>
          <w:p w14:paraId="2EF534C5" w14:textId="4940901A" w:rsidR="000024F6" w:rsidRPr="00682A07" w:rsidRDefault="000024F6" w:rsidP="000B35CF">
            <w:pPr>
              <w:pStyle w:val="oj-tbl-txt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2"/>
                <w:lang w:val="sk-SK" w:eastAsia="en-AU"/>
              </w:rPr>
            </w:pPr>
            <w:r>
              <w:rPr>
                <w:rFonts w:ascii="Arial Narrow" w:hAnsi="Arial Narrow"/>
                <w:sz w:val="20"/>
                <w:szCs w:val="22"/>
                <w:lang w:val="sk-SK" w:eastAsia="en-AU"/>
              </w:rPr>
              <w:t>Identifikáciu</w:t>
            </w:r>
            <w:r w:rsidRPr="00C43310"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 a plánovanie všetkých verejných investícií vrátane o</w:t>
            </w:r>
            <w:r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rientačného finančného odhadu: </w:t>
            </w:r>
            <w:r w:rsidRPr="00682A07">
              <w:rPr>
                <w:rFonts w:ascii="Arial Narrow" w:hAnsi="Arial Narrow"/>
                <w:sz w:val="20"/>
                <w:szCs w:val="22"/>
                <w:lang w:val="sk-SK" w:eastAsia="en-AU"/>
              </w:rPr>
              <w:t xml:space="preserve">b) potrebné na </w:t>
            </w:r>
            <w:r w:rsidR="000B35CF">
              <w:rPr>
                <w:rFonts w:ascii="Arial Narrow" w:hAnsi="Arial Narrow"/>
                <w:sz w:val="20"/>
                <w:szCs w:val="22"/>
                <w:lang w:val="sk-SK" w:eastAsia="en-AU"/>
              </w:rPr>
              <w:t>vykonávanie smernice 98/83/ES.</w:t>
            </w:r>
          </w:p>
        </w:tc>
        <w:sdt>
          <w:sdtPr>
            <w:rPr>
              <w:rFonts w:ascii="Arial Narrow" w:hAnsi="Arial Narrow"/>
              <w:szCs w:val="22"/>
            </w:rPr>
            <w:alias w:val="Vyberte zo zoznamu"/>
            <w:tag w:val="Vyberte zo zoznamu"/>
            <w:id w:val="1383053079"/>
            <w:placeholder>
              <w:docPart w:val="3EF45366128E4B2CAFFA83F795C6143E"/>
            </w:placeholder>
            <w:comboBox>
              <w:listItem w:displayText="áno" w:value="áno"/>
              <w:listItem w:displayText="nie" w:value="nie"/>
              <w:listItem w:displayText="iné" w:value="iné"/>
            </w:comboBox>
          </w:sdtPr>
          <w:sdtEndPr>
            <w:rPr>
              <w:rFonts w:ascii="Times New Roman" w:hAnsi="Times New Roman"/>
              <w:szCs w:val="20"/>
            </w:rPr>
          </w:sdtEndPr>
          <w:sdtContent>
            <w:tc>
              <w:tcPr>
                <w:tcW w:w="2266" w:type="dxa"/>
              </w:tcPr>
              <w:p w14:paraId="0FF62C7B" w14:textId="77777777" w:rsidR="000024F6" w:rsidRDefault="000024F6" w:rsidP="00264A8C">
                <w:pPr>
                  <w:jc w:val="center"/>
                </w:pPr>
                <w:r>
                  <w:rPr>
                    <w:rFonts w:ascii="Arial Narrow" w:hAnsi="Arial Narrow"/>
                    <w:szCs w:val="22"/>
                  </w:rPr>
                  <w:t>áno</w:t>
                </w:r>
              </w:p>
            </w:tc>
          </w:sdtContent>
        </w:sdt>
        <w:tc>
          <w:tcPr>
            <w:tcW w:w="2266" w:type="dxa"/>
          </w:tcPr>
          <w:p w14:paraId="72152606" w14:textId="77777777" w:rsidR="000024F6" w:rsidRDefault="000024F6" w:rsidP="00264A8C">
            <w:pPr>
              <w:rPr>
                <w:rFonts w:ascii="Arial Narrow" w:hAnsi="Arial Narrow"/>
                <w:b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>Splnenie kritéria</w:t>
            </w:r>
            <w:r w:rsidRPr="006D3FA3">
              <w:rPr>
                <w:rFonts w:ascii="Arial Narrow" w:hAnsi="Arial Narrow"/>
                <w:szCs w:val="22"/>
                <w:lang w:val="sk-SK"/>
              </w:rPr>
              <w:t xml:space="preserve"> je zabezpečené v rámci národného koncepčného dokumentu - </w:t>
            </w:r>
            <w:r w:rsidRPr="006D3FA3">
              <w:rPr>
                <w:rFonts w:ascii="Arial Narrow" w:hAnsi="Arial Narrow"/>
                <w:b/>
                <w:szCs w:val="22"/>
                <w:lang w:val="sk-SK"/>
              </w:rPr>
              <w:t>Plán rozvoja verejných vodovodov a verejných kanalizácií pre územie SR na roky 2021 – 2027</w:t>
            </w:r>
            <w:r>
              <w:rPr>
                <w:rFonts w:ascii="Arial Narrow" w:hAnsi="Arial Narrow"/>
                <w:b/>
                <w:szCs w:val="22"/>
                <w:lang w:val="sk-SK"/>
              </w:rPr>
              <w:t xml:space="preserve">. </w:t>
            </w:r>
          </w:p>
          <w:p w14:paraId="3060AEFD" w14:textId="77777777" w:rsidR="000024F6" w:rsidRDefault="000024F6" w:rsidP="00264A8C">
            <w:pPr>
              <w:rPr>
                <w:rFonts w:ascii="Arial Narrow" w:hAnsi="Arial Narrow"/>
                <w:b/>
                <w:szCs w:val="22"/>
                <w:lang w:val="sk-SK"/>
              </w:rPr>
            </w:pPr>
          </w:p>
          <w:p w14:paraId="0825EEAA" w14:textId="507675EE" w:rsidR="000024F6" w:rsidRPr="008D0A9B" w:rsidRDefault="00FA6D5E" w:rsidP="00FA6D5E">
            <w:pPr>
              <w:rPr>
                <w:rFonts w:ascii="Arial Narrow" w:hAnsi="Arial Narrow"/>
                <w:szCs w:val="22"/>
                <w:lang w:val="sk-SK"/>
              </w:rPr>
            </w:pPr>
            <w:r>
              <w:rPr>
                <w:rFonts w:ascii="Arial Narrow" w:hAnsi="Arial Narrow"/>
                <w:szCs w:val="22"/>
                <w:lang w:val="sk-SK"/>
              </w:rPr>
              <w:t xml:space="preserve"> </w:t>
            </w:r>
          </w:p>
        </w:tc>
      </w:tr>
    </w:tbl>
    <w:p w14:paraId="5ABDA3AD" w14:textId="6F45E3B5" w:rsidR="00B4258E" w:rsidRDefault="00B4258E" w:rsidP="00A755FC">
      <w:pPr>
        <w:spacing w:after="160" w:line="259" w:lineRule="auto"/>
        <w:jc w:val="both"/>
      </w:pPr>
    </w:p>
    <w:sectPr w:rsidR="00B4258E" w:rsidSect="0001314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012FB" w14:textId="77777777" w:rsidR="0028539C" w:rsidRDefault="0028539C" w:rsidP="00DB2F0B">
      <w:r>
        <w:separator/>
      </w:r>
    </w:p>
  </w:endnote>
  <w:endnote w:type="continuationSeparator" w:id="0">
    <w:p w14:paraId="528FA1BA" w14:textId="77777777" w:rsidR="0028539C" w:rsidRDefault="0028539C" w:rsidP="00D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14D17" w14:textId="77777777" w:rsidR="0028539C" w:rsidRDefault="0028539C" w:rsidP="00DB2F0B">
      <w:r>
        <w:separator/>
      </w:r>
    </w:p>
  </w:footnote>
  <w:footnote w:type="continuationSeparator" w:id="0">
    <w:p w14:paraId="03572E16" w14:textId="77777777" w:rsidR="0028539C" w:rsidRDefault="0028539C" w:rsidP="00DB2F0B">
      <w:r>
        <w:continuationSeparator/>
      </w:r>
    </w:p>
  </w:footnote>
  <w:footnote w:id="1">
    <w:p w14:paraId="3E185300" w14:textId="03668C82" w:rsidR="00C822A9" w:rsidRPr="00782998" w:rsidRDefault="00C822A9">
      <w:pPr>
        <w:pStyle w:val="Textpoznmkypodiarou"/>
        <w:rPr>
          <w:rStyle w:val="Hypertextovprepojenie"/>
        </w:rPr>
      </w:pPr>
      <w:r w:rsidRPr="00782998">
        <w:rPr>
          <w:rStyle w:val="Hypertextovprepojenie"/>
        </w:rPr>
        <w:footnoteRef/>
      </w:r>
      <w:r w:rsidRPr="00782998">
        <w:rPr>
          <w:rStyle w:val="Hypertextovprepojenie"/>
        </w:rPr>
        <w:t xml:space="preserve"> </w:t>
      </w:r>
      <w:hyperlink r:id="rId1" w:history="1">
        <w:r w:rsidRPr="00330855">
          <w:rPr>
            <w:rStyle w:val="Hypertextovprepojenie"/>
          </w:rPr>
          <w:t>https://eur-lex.europa.eu/legal-content/SK/TXT/?uri=CELEX:32020L2184</w:t>
        </w:r>
      </w:hyperlink>
      <w:r w:rsidRPr="00782998">
        <w:rPr>
          <w:rStyle w:val="Hypertextovprepojenie"/>
        </w:rPr>
        <w:t xml:space="preserve"> </w:t>
      </w:r>
    </w:p>
  </w:footnote>
  <w:footnote w:id="2">
    <w:p w14:paraId="2D09D13F" w14:textId="036CBA78" w:rsidR="0047793A" w:rsidRPr="00330855" w:rsidRDefault="0047793A">
      <w:pPr>
        <w:pStyle w:val="Textpoznmkypodiarou"/>
        <w:rPr>
          <w:rStyle w:val="Hypertextovprepojenie"/>
        </w:rPr>
      </w:pPr>
      <w:r w:rsidRPr="00330855">
        <w:rPr>
          <w:rStyle w:val="Hypertextovprepojenie"/>
        </w:rPr>
        <w:footnoteRef/>
      </w:r>
      <w:r w:rsidRPr="00330855">
        <w:rPr>
          <w:rStyle w:val="Hypertextovprepojenie"/>
        </w:rPr>
        <w:t xml:space="preserve"> </w:t>
      </w:r>
      <w:hyperlink r:id="rId2" w:history="1">
        <w:r w:rsidRPr="00DC0D23">
          <w:rPr>
            <w:rStyle w:val="Hypertextovprepojenie"/>
          </w:rPr>
          <w:t>https://www.minzp.sk/voda/verejne-vodovody-verejne-kanalizacie/</w:t>
        </w:r>
      </w:hyperlink>
    </w:p>
  </w:footnote>
  <w:footnote w:id="3">
    <w:p w14:paraId="554728E9" w14:textId="0CE72330" w:rsidR="006712E0" w:rsidRPr="002F65C6" w:rsidRDefault="006712E0" w:rsidP="006712E0">
      <w:pPr>
        <w:pStyle w:val="Textpoznmkypodiarou"/>
        <w:jc w:val="both"/>
        <w:rPr>
          <w:rFonts w:ascii="Arial Narrow" w:hAnsi="Arial Narrow"/>
        </w:rPr>
      </w:pPr>
      <w:r w:rsidRPr="002F65C6">
        <w:rPr>
          <w:rStyle w:val="Odkaznapoznmkupodiarou"/>
          <w:rFonts w:ascii="Arial Narrow" w:hAnsi="Arial Narrow"/>
        </w:rPr>
        <w:footnoteRef/>
      </w:r>
      <w:r w:rsidRPr="002F65C6">
        <w:rPr>
          <w:rFonts w:ascii="Arial Narrow" w:hAnsi="Arial Narrow"/>
        </w:rPr>
        <w:t xml:space="preserve"> Obdobie udržateľnosti je definované v čl. 65 </w:t>
      </w:r>
      <w:r>
        <w:rPr>
          <w:rFonts w:ascii="Arial Narrow" w:hAnsi="Arial Narrow"/>
        </w:rPr>
        <w:t>n</w:t>
      </w:r>
      <w:r w:rsidRPr="002F65C6">
        <w:rPr>
          <w:rFonts w:ascii="Arial Narrow" w:hAnsi="Arial Narrow"/>
        </w:rPr>
        <w:t>ariadenia Európskeho parlamentu a Rady (EÚ) 2021/1060 z 24. júna 2021, ktorým sa stanovujú spoločné ustanovenia o Európskom fonde regionálneho rozvoja, Európskom sociálnom fonde plus, Kohéznom fonde, Fonde na spravodlivú transformáciu a Európskom námornom, rybolovnom a akvakultúrnom fonde a rozpočtové pravidlá pre uvedené fondy, ako aj pre Fond pre azyl, migráciu a integráciu, Fond pre vnútornú bezpečnosť a Nástroj finančnej podpory na riadenie hraníc a vízovú politiku (ďalej len „nariadenie o spoločných ustanoveniach“).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883"/>
    <w:multiLevelType w:val="hybridMultilevel"/>
    <w:tmpl w:val="BB1C967E"/>
    <w:lvl w:ilvl="0" w:tplc="041B001B">
      <w:start w:val="1"/>
      <w:numFmt w:val="lowerRoman"/>
      <w:lvlText w:val="%1."/>
      <w:lvlJc w:val="right"/>
      <w:pPr>
        <w:ind w:left="1474" w:hanging="360"/>
      </w:pPr>
    </w:lvl>
    <w:lvl w:ilvl="1" w:tplc="041B0019" w:tentative="1">
      <w:start w:val="1"/>
      <w:numFmt w:val="lowerLetter"/>
      <w:lvlText w:val="%2."/>
      <w:lvlJc w:val="left"/>
      <w:pPr>
        <w:ind w:left="2194" w:hanging="360"/>
      </w:pPr>
    </w:lvl>
    <w:lvl w:ilvl="2" w:tplc="041B001B" w:tentative="1">
      <w:start w:val="1"/>
      <w:numFmt w:val="lowerRoman"/>
      <w:lvlText w:val="%3."/>
      <w:lvlJc w:val="right"/>
      <w:pPr>
        <w:ind w:left="2914" w:hanging="180"/>
      </w:pPr>
    </w:lvl>
    <w:lvl w:ilvl="3" w:tplc="041B000F" w:tentative="1">
      <w:start w:val="1"/>
      <w:numFmt w:val="decimal"/>
      <w:lvlText w:val="%4."/>
      <w:lvlJc w:val="left"/>
      <w:pPr>
        <w:ind w:left="3634" w:hanging="360"/>
      </w:pPr>
    </w:lvl>
    <w:lvl w:ilvl="4" w:tplc="041B0019" w:tentative="1">
      <w:start w:val="1"/>
      <w:numFmt w:val="lowerLetter"/>
      <w:lvlText w:val="%5."/>
      <w:lvlJc w:val="left"/>
      <w:pPr>
        <w:ind w:left="4354" w:hanging="360"/>
      </w:pPr>
    </w:lvl>
    <w:lvl w:ilvl="5" w:tplc="041B001B" w:tentative="1">
      <w:start w:val="1"/>
      <w:numFmt w:val="lowerRoman"/>
      <w:lvlText w:val="%6."/>
      <w:lvlJc w:val="right"/>
      <w:pPr>
        <w:ind w:left="5074" w:hanging="180"/>
      </w:pPr>
    </w:lvl>
    <w:lvl w:ilvl="6" w:tplc="041B000F" w:tentative="1">
      <w:start w:val="1"/>
      <w:numFmt w:val="decimal"/>
      <w:lvlText w:val="%7."/>
      <w:lvlJc w:val="left"/>
      <w:pPr>
        <w:ind w:left="5794" w:hanging="360"/>
      </w:pPr>
    </w:lvl>
    <w:lvl w:ilvl="7" w:tplc="041B0019" w:tentative="1">
      <w:start w:val="1"/>
      <w:numFmt w:val="lowerLetter"/>
      <w:lvlText w:val="%8."/>
      <w:lvlJc w:val="left"/>
      <w:pPr>
        <w:ind w:left="6514" w:hanging="360"/>
      </w:pPr>
    </w:lvl>
    <w:lvl w:ilvl="8" w:tplc="041B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0D55B9B"/>
    <w:multiLevelType w:val="hybridMultilevel"/>
    <w:tmpl w:val="0FE8A284"/>
    <w:lvl w:ilvl="0" w:tplc="1CF687DA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54B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28F0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C4DF86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C771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C4E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6F092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0A9BE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C206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5466B"/>
    <w:multiLevelType w:val="hybridMultilevel"/>
    <w:tmpl w:val="6B900E96"/>
    <w:lvl w:ilvl="0" w:tplc="041B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4F64B57"/>
    <w:multiLevelType w:val="hybridMultilevel"/>
    <w:tmpl w:val="8A2C3800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14AD"/>
    <w:multiLevelType w:val="hybridMultilevel"/>
    <w:tmpl w:val="DE90BF10"/>
    <w:lvl w:ilvl="0" w:tplc="2C366E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6FD"/>
    <w:multiLevelType w:val="hybridMultilevel"/>
    <w:tmpl w:val="AEE63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3D95"/>
    <w:multiLevelType w:val="hybridMultilevel"/>
    <w:tmpl w:val="2FB6EA0A"/>
    <w:lvl w:ilvl="0" w:tplc="041B0015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5CE7CAB"/>
    <w:multiLevelType w:val="hybridMultilevel"/>
    <w:tmpl w:val="DBA61AAE"/>
    <w:lvl w:ilvl="0" w:tplc="98069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685B"/>
    <w:multiLevelType w:val="hybridMultilevel"/>
    <w:tmpl w:val="804ED4AA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9AF"/>
    <w:multiLevelType w:val="hybridMultilevel"/>
    <w:tmpl w:val="D3C01CA2"/>
    <w:lvl w:ilvl="0" w:tplc="72D4A2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8680676"/>
    <w:multiLevelType w:val="hybridMultilevel"/>
    <w:tmpl w:val="9F368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C0"/>
    <w:rsid w:val="000024F6"/>
    <w:rsid w:val="00006249"/>
    <w:rsid w:val="0001314D"/>
    <w:rsid w:val="00020C3E"/>
    <w:rsid w:val="00024885"/>
    <w:rsid w:val="00032BE7"/>
    <w:rsid w:val="0003333B"/>
    <w:rsid w:val="00036036"/>
    <w:rsid w:val="00046C8F"/>
    <w:rsid w:val="00050196"/>
    <w:rsid w:val="0005787B"/>
    <w:rsid w:val="00067E50"/>
    <w:rsid w:val="00073185"/>
    <w:rsid w:val="00073F13"/>
    <w:rsid w:val="00086C94"/>
    <w:rsid w:val="00090504"/>
    <w:rsid w:val="000B18FC"/>
    <w:rsid w:val="000B35CF"/>
    <w:rsid w:val="000C1A06"/>
    <w:rsid w:val="000C1A18"/>
    <w:rsid w:val="000C224E"/>
    <w:rsid w:val="000D5062"/>
    <w:rsid w:val="000D70DF"/>
    <w:rsid w:val="00107959"/>
    <w:rsid w:val="00110C26"/>
    <w:rsid w:val="001150EF"/>
    <w:rsid w:val="00121F2E"/>
    <w:rsid w:val="00126DE9"/>
    <w:rsid w:val="001358F7"/>
    <w:rsid w:val="001642A8"/>
    <w:rsid w:val="0016567B"/>
    <w:rsid w:val="001714AA"/>
    <w:rsid w:val="001746CA"/>
    <w:rsid w:val="00186621"/>
    <w:rsid w:val="00197F94"/>
    <w:rsid w:val="001A6042"/>
    <w:rsid w:val="001B0AFB"/>
    <w:rsid w:val="001B5E95"/>
    <w:rsid w:val="001B72BF"/>
    <w:rsid w:val="001C7EF0"/>
    <w:rsid w:val="001D1795"/>
    <w:rsid w:val="001E0D57"/>
    <w:rsid w:val="001E52A0"/>
    <w:rsid w:val="001E7086"/>
    <w:rsid w:val="001F25AB"/>
    <w:rsid w:val="001F2986"/>
    <w:rsid w:val="00201109"/>
    <w:rsid w:val="00205826"/>
    <w:rsid w:val="002144C7"/>
    <w:rsid w:val="00220647"/>
    <w:rsid w:val="002226DD"/>
    <w:rsid w:val="00223D4E"/>
    <w:rsid w:val="0026117D"/>
    <w:rsid w:val="00262E51"/>
    <w:rsid w:val="002740A5"/>
    <w:rsid w:val="002740BD"/>
    <w:rsid w:val="002778C9"/>
    <w:rsid w:val="0028539C"/>
    <w:rsid w:val="002A581E"/>
    <w:rsid w:val="002A63F4"/>
    <w:rsid w:val="002A79C2"/>
    <w:rsid w:val="002B453D"/>
    <w:rsid w:val="002B69C1"/>
    <w:rsid w:val="002C185C"/>
    <w:rsid w:val="002C349B"/>
    <w:rsid w:val="002D1754"/>
    <w:rsid w:val="002D3817"/>
    <w:rsid w:val="002E1A4C"/>
    <w:rsid w:val="002E5BA1"/>
    <w:rsid w:val="002F3D35"/>
    <w:rsid w:val="002F65C6"/>
    <w:rsid w:val="003161E1"/>
    <w:rsid w:val="00320ECC"/>
    <w:rsid w:val="00323C56"/>
    <w:rsid w:val="00330855"/>
    <w:rsid w:val="003313F3"/>
    <w:rsid w:val="00333A68"/>
    <w:rsid w:val="00335A0B"/>
    <w:rsid w:val="00335B59"/>
    <w:rsid w:val="00337B1F"/>
    <w:rsid w:val="00347106"/>
    <w:rsid w:val="00360291"/>
    <w:rsid w:val="00362061"/>
    <w:rsid w:val="00367CA9"/>
    <w:rsid w:val="00373404"/>
    <w:rsid w:val="003759AD"/>
    <w:rsid w:val="00380C43"/>
    <w:rsid w:val="00383B1E"/>
    <w:rsid w:val="00384C81"/>
    <w:rsid w:val="00386700"/>
    <w:rsid w:val="00396E0E"/>
    <w:rsid w:val="003A5E9E"/>
    <w:rsid w:val="003C4BBF"/>
    <w:rsid w:val="003C69E5"/>
    <w:rsid w:val="0043518D"/>
    <w:rsid w:val="0043776B"/>
    <w:rsid w:val="00447EBC"/>
    <w:rsid w:val="004550CD"/>
    <w:rsid w:val="004631B0"/>
    <w:rsid w:val="00471128"/>
    <w:rsid w:val="0047211A"/>
    <w:rsid w:val="0047793A"/>
    <w:rsid w:val="004925BF"/>
    <w:rsid w:val="004936E1"/>
    <w:rsid w:val="004B21D9"/>
    <w:rsid w:val="004C31A8"/>
    <w:rsid w:val="004C5D68"/>
    <w:rsid w:val="004C6CFE"/>
    <w:rsid w:val="004D7C00"/>
    <w:rsid w:val="004E28FE"/>
    <w:rsid w:val="004E46F1"/>
    <w:rsid w:val="00500D9E"/>
    <w:rsid w:val="005075A2"/>
    <w:rsid w:val="005278D4"/>
    <w:rsid w:val="00553BDE"/>
    <w:rsid w:val="00562927"/>
    <w:rsid w:val="00562C4A"/>
    <w:rsid w:val="0057153E"/>
    <w:rsid w:val="00577D22"/>
    <w:rsid w:val="00577D38"/>
    <w:rsid w:val="00597F39"/>
    <w:rsid w:val="005A28EC"/>
    <w:rsid w:val="005A5D41"/>
    <w:rsid w:val="005B489E"/>
    <w:rsid w:val="005C26DD"/>
    <w:rsid w:val="005D6136"/>
    <w:rsid w:val="005E73E4"/>
    <w:rsid w:val="0060640E"/>
    <w:rsid w:val="00607B43"/>
    <w:rsid w:val="00607E9D"/>
    <w:rsid w:val="00610D83"/>
    <w:rsid w:val="00615C0C"/>
    <w:rsid w:val="00625BB3"/>
    <w:rsid w:val="00631434"/>
    <w:rsid w:val="00632B8C"/>
    <w:rsid w:val="006364E8"/>
    <w:rsid w:val="00636800"/>
    <w:rsid w:val="00636E03"/>
    <w:rsid w:val="00637FA6"/>
    <w:rsid w:val="006442DD"/>
    <w:rsid w:val="006508D8"/>
    <w:rsid w:val="0065130A"/>
    <w:rsid w:val="00666757"/>
    <w:rsid w:val="006678F0"/>
    <w:rsid w:val="006712E0"/>
    <w:rsid w:val="00682A07"/>
    <w:rsid w:val="00693061"/>
    <w:rsid w:val="006968CC"/>
    <w:rsid w:val="006B0CDA"/>
    <w:rsid w:val="006B2464"/>
    <w:rsid w:val="006C2F84"/>
    <w:rsid w:val="006D0DB8"/>
    <w:rsid w:val="006D13DB"/>
    <w:rsid w:val="006D29ED"/>
    <w:rsid w:val="006D3354"/>
    <w:rsid w:val="006D3FA3"/>
    <w:rsid w:val="006E0587"/>
    <w:rsid w:val="006E5B97"/>
    <w:rsid w:val="00704A42"/>
    <w:rsid w:val="00720174"/>
    <w:rsid w:val="00725C56"/>
    <w:rsid w:val="00741CDC"/>
    <w:rsid w:val="00742A4C"/>
    <w:rsid w:val="0074556C"/>
    <w:rsid w:val="0075024D"/>
    <w:rsid w:val="007504A7"/>
    <w:rsid w:val="007513F2"/>
    <w:rsid w:val="007522FA"/>
    <w:rsid w:val="00755ACF"/>
    <w:rsid w:val="00765805"/>
    <w:rsid w:val="00767D2D"/>
    <w:rsid w:val="007702A3"/>
    <w:rsid w:val="00770646"/>
    <w:rsid w:val="007714FB"/>
    <w:rsid w:val="0078124F"/>
    <w:rsid w:val="00781DBE"/>
    <w:rsid w:val="00782998"/>
    <w:rsid w:val="0079163F"/>
    <w:rsid w:val="007A168A"/>
    <w:rsid w:val="007B6E02"/>
    <w:rsid w:val="007C0E93"/>
    <w:rsid w:val="007C3079"/>
    <w:rsid w:val="007C3F24"/>
    <w:rsid w:val="007D49CF"/>
    <w:rsid w:val="007E1486"/>
    <w:rsid w:val="007E189B"/>
    <w:rsid w:val="007E1E20"/>
    <w:rsid w:val="007E6EDB"/>
    <w:rsid w:val="007E787F"/>
    <w:rsid w:val="007F2D15"/>
    <w:rsid w:val="00802FB6"/>
    <w:rsid w:val="00804109"/>
    <w:rsid w:val="00820A31"/>
    <w:rsid w:val="00822A81"/>
    <w:rsid w:val="008262C8"/>
    <w:rsid w:val="00833742"/>
    <w:rsid w:val="008351E3"/>
    <w:rsid w:val="00845CA5"/>
    <w:rsid w:val="008509C8"/>
    <w:rsid w:val="00856DCC"/>
    <w:rsid w:val="0086382F"/>
    <w:rsid w:val="00882D98"/>
    <w:rsid w:val="0089707A"/>
    <w:rsid w:val="008A0224"/>
    <w:rsid w:val="008C245E"/>
    <w:rsid w:val="008D0A9B"/>
    <w:rsid w:val="008D12D0"/>
    <w:rsid w:val="008D52AE"/>
    <w:rsid w:val="008D5371"/>
    <w:rsid w:val="008D5E59"/>
    <w:rsid w:val="008E6C22"/>
    <w:rsid w:val="008F12F8"/>
    <w:rsid w:val="008F4AD0"/>
    <w:rsid w:val="0090512E"/>
    <w:rsid w:val="00906E68"/>
    <w:rsid w:val="00910472"/>
    <w:rsid w:val="009105E9"/>
    <w:rsid w:val="00932792"/>
    <w:rsid w:val="009354D8"/>
    <w:rsid w:val="00935ED9"/>
    <w:rsid w:val="00946A7C"/>
    <w:rsid w:val="00966757"/>
    <w:rsid w:val="00970443"/>
    <w:rsid w:val="00974D23"/>
    <w:rsid w:val="00981237"/>
    <w:rsid w:val="00992D7B"/>
    <w:rsid w:val="009A0EFD"/>
    <w:rsid w:val="009B000A"/>
    <w:rsid w:val="009B0717"/>
    <w:rsid w:val="009B49A0"/>
    <w:rsid w:val="009C1870"/>
    <w:rsid w:val="009C2CD3"/>
    <w:rsid w:val="009C3764"/>
    <w:rsid w:val="009C6FEE"/>
    <w:rsid w:val="009D218C"/>
    <w:rsid w:val="009E1DD1"/>
    <w:rsid w:val="009F3D1C"/>
    <w:rsid w:val="00A00BEE"/>
    <w:rsid w:val="00A01312"/>
    <w:rsid w:val="00A043C9"/>
    <w:rsid w:val="00A04CAC"/>
    <w:rsid w:val="00A0639A"/>
    <w:rsid w:val="00A156EE"/>
    <w:rsid w:val="00A25241"/>
    <w:rsid w:val="00A30C32"/>
    <w:rsid w:val="00A407AD"/>
    <w:rsid w:val="00A4186E"/>
    <w:rsid w:val="00A4221E"/>
    <w:rsid w:val="00A4555D"/>
    <w:rsid w:val="00A475E5"/>
    <w:rsid w:val="00A5334E"/>
    <w:rsid w:val="00A654A4"/>
    <w:rsid w:val="00A65BB8"/>
    <w:rsid w:val="00A67035"/>
    <w:rsid w:val="00A755FC"/>
    <w:rsid w:val="00A8036E"/>
    <w:rsid w:val="00A81759"/>
    <w:rsid w:val="00A86777"/>
    <w:rsid w:val="00A87C5A"/>
    <w:rsid w:val="00A91556"/>
    <w:rsid w:val="00A95349"/>
    <w:rsid w:val="00A96FEA"/>
    <w:rsid w:val="00A97B37"/>
    <w:rsid w:val="00AA5CE9"/>
    <w:rsid w:val="00AA625F"/>
    <w:rsid w:val="00AC1A43"/>
    <w:rsid w:val="00AC249E"/>
    <w:rsid w:val="00AC2C0C"/>
    <w:rsid w:val="00AC6105"/>
    <w:rsid w:val="00AD06F8"/>
    <w:rsid w:val="00AD101E"/>
    <w:rsid w:val="00AF1F7C"/>
    <w:rsid w:val="00AF53D1"/>
    <w:rsid w:val="00B00BC8"/>
    <w:rsid w:val="00B00FEB"/>
    <w:rsid w:val="00B023F4"/>
    <w:rsid w:val="00B1747D"/>
    <w:rsid w:val="00B218EF"/>
    <w:rsid w:val="00B21CFB"/>
    <w:rsid w:val="00B23C61"/>
    <w:rsid w:val="00B4258E"/>
    <w:rsid w:val="00B56B14"/>
    <w:rsid w:val="00B73FC5"/>
    <w:rsid w:val="00B80D0B"/>
    <w:rsid w:val="00B8248A"/>
    <w:rsid w:val="00B836AE"/>
    <w:rsid w:val="00B83E86"/>
    <w:rsid w:val="00B849EA"/>
    <w:rsid w:val="00B84E86"/>
    <w:rsid w:val="00B85BA0"/>
    <w:rsid w:val="00B90067"/>
    <w:rsid w:val="00BA3FBA"/>
    <w:rsid w:val="00BB7E8C"/>
    <w:rsid w:val="00BE15E8"/>
    <w:rsid w:val="00C0462F"/>
    <w:rsid w:val="00C04CE7"/>
    <w:rsid w:val="00C0716B"/>
    <w:rsid w:val="00C07B8D"/>
    <w:rsid w:val="00C2124D"/>
    <w:rsid w:val="00C33B78"/>
    <w:rsid w:val="00C418A7"/>
    <w:rsid w:val="00C424AC"/>
    <w:rsid w:val="00C43310"/>
    <w:rsid w:val="00C466BC"/>
    <w:rsid w:val="00C523AF"/>
    <w:rsid w:val="00C71EF0"/>
    <w:rsid w:val="00C7207C"/>
    <w:rsid w:val="00C822A9"/>
    <w:rsid w:val="00C858E8"/>
    <w:rsid w:val="00C8781D"/>
    <w:rsid w:val="00C90A12"/>
    <w:rsid w:val="00CA7A2B"/>
    <w:rsid w:val="00CB38CE"/>
    <w:rsid w:val="00CD256D"/>
    <w:rsid w:val="00CD2B2E"/>
    <w:rsid w:val="00CD2BD7"/>
    <w:rsid w:val="00CE6848"/>
    <w:rsid w:val="00D02610"/>
    <w:rsid w:val="00D1030D"/>
    <w:rsid w:val="00D104B6"/>
    <w:rsid w:val="00D137C7"/>
    <w:rsid w:val="00D236C7"/>
    <w:rsid w:val="00D274DE"/>
    <w:rsid w:val="00D3003C"/>
    <w:rsid w:val="00D32B56"/>
    <w:rsid w:val="00D45D14"/>
    <w:rsid w:val="00D556E6"/>
    <w:rsid w:val="00D61FDD"/>
    <w:rsid w:val="00D63367"/>
    <w:rsid w:val="00D7265F"/>
    <w:rsid w:val="00D77080"/>
    <w:rsid w:val="00D9449E"/>
    <w:rsid w:val="00D961C4"/>
    <w:rsid w:val="00DA138B"/>
    <w:rsid w:val="00DA28B7"/>
    <w:rsid w:val="00DA32CE"/>
    <w:rsid w:val="00DB2F0B"/>
    <w:rsid w:val="00DB6141"/>
    <w:rsid w:val="00DB740B"/>
    <w:rsid w:val="00DD6D1A"/>
    <w:rsid w:val="00DE181D"/>
    <w:rsid w:val="00DE7B82"/>
    <w:rsid w:val="00DF0A1B"/>
    <w:rsid w:val="00DF6CE0"/>
    <w:rsid w:val="00DF7FAE"/>
    <w:rsid w:val="00E05492"/>
    <w:rsid w:val="00E06967"/>
    <w:rsid w:val="00E13458"/>
    <w:rsid w:val="00E1368B"/>
    <w:rsid w:val="00E50424"/>
    <w:rsid w:val="00E5455C"/>
    <w:rsid w:val="00E54D27"/>
    <w:rsid w:val="00E751E0"/>
    <w:rsid w:val="00E76764"/>
    <w:rsid w:val="00E923DF"/>
    <w:rsid w:val="00E9699D"/>
    <w:rsid w:val="00EA5F25"/>
    <w:rsid w:val="00EB1EE7"/>
    <w:rsid w:val="00EB2E33"/>
    <w:rsid w:val="00EB3EF5"/>
    <w:rsid w:val="00EB52F9"/>
    <w:rsid w:val="00EB5FA9"/>
    <w:rsid w:val="00EB6978"/>
    <w:rsid w:val="00EC4491"/>
    <w:rsid w:val="00EC4AA7"/>
    <w:rsid w:val="00ED4D50"/>
    <w:rsid w:val="00EE69E0"/>
    <w:rsid w:val="00EE6DDF"/>
    <w:rsid w:val="00F11642"/>
    <w:rsid w:val="00F14A4F"/>
    <w:rsid w:val="00F201BA"/>
    <w:rsid w:val="00F210E2"/>
    <w:rsid w:val="00F22EDF"/>
    <w:rsid w:val="00F45885"/>
    <w:rsid w:val="00F4751F"/>
    <w:rsid w:val="00F50B00"/>
    <w:rsid w:val="00F80523"/>
    <w:rsid w:val="00F84A62"/>
    <w:rsid w:val="00F9032F"/>
    <w:rsid w:val="00F910C0"/>
    <w:rsid w:val="00FA067F"/>
    <w:rsid w:val="00FA3BDA"/>
    <w:rsid w:val="00FA47F1"/>
    <w:rsid w:val="00FA6D5E"/>
    <w:rsid w:val="00FB3991"/>
    <w:rsid w:val="00FB7AA3"/>
    <w:rsid w:val="00FC0D37"/>
    <w:rsid w:val="00FC1007"/>
    <w:rsid w:val="00FC1623"/>
    <w:rsid w:val="00FC2AAC"/>
    <w:rsid w:val="00FC2E97"/>
    <w:rsid w:val="00FD46FD"/>
    <w:rsid w:val="00FD555C"/>
    <w:rsid w:val="00FE22D7"/>
    <w:rsid w:val="00FE2E5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CE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F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 Char4"/>
    <w:basedOn w:val="Normlny"/>
    <w:link w:val="TextpoznmkypodiarouChar"/>
    <w:uiPriority w:val="99"/>
    <w:qFormat/>
    <w:rsid w:val="00DB2F0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 Char4 Char"/>
    <w:basedOn w:val="Predvolenpsmoodseku"/>
    <w:link w:val="Textpoznmkypodiarou"/>
    <w:uiPriority w:val="99"/>
    <w:qFormat/>
    <w:rsid w:val="00DB2F0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Odsek zoznamu1,Listenabsatz,List Paragraph,Odsek,Lettre d'introduction,Paragrafo elenco,1st level - Bullet List Paragraph,Odražka 1,Odsek zoznamu21,List Paragraph1,Colorful List - Accent 11,Dot pt,F5 List Paragraph"/>
    <w:basedOn w:val="Normlny"/>
    <w:link w:val="OdsekzoznamuChar"/>
    <w:uiPriority w:val="99"/>
    <w:qFormat/>
    <w:rsid w:val="00DB2F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DB2F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2F0B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2F0B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DB2F0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link w:val="Char2"/>
    <w:uiPriority w:val="99"/>
    <w:qFormat/>
    <w:rsid w:val="00DB2F0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Odsek zoznamu1 Char,Listenabsatz Char,List Paragraph Char,Odsek Char,Lettre d'introduction Char,Paragrafo elenco Char,1st level - Bullet List Paragraph Char,Odražka 1 Char,Odsek zoznamu21 Char,Dot pt Char"/>
    <w:link w:val="Odsekzoznamu"/>
    <w:uiPriority w:val="99"/>
    <w:qFormat/>
    <w:locked/>
    <w:rsid w:val="00DB2F0B"/>
    <w:rPr>
      <w:rFonts w:ascii="Times New Roman" w:eastAsia="Times New Roman" w:hAnsi="Times New Roman" w:cs="Times New Roman"/>
      <w:szCs w:val="20"/>
    </w:rPr>
  </w:style>
  <w:style w:type="paragraph" w:customStyle="1" w:styleId="Char2">
    <w:name w:val="Char2"/>
    <w:basedOn w:val="Normlny"/>
    <w:link w:val="Odkaznapoznmkupodiarou"/>
    <w:uiPriority w:val="99"/>
    <w:qFormat/>
    <w:rsid w:val="00DB2F0B"/>
    <w:pPr>
      <w:spacing w:after="160" w:line="240" w:lineRule="exact"/>
    </w:pPr>
    <w:rPr>
      <w:rFonts w:asciiTheme="minorHAnsi" w:eastAsiaTheme="minorHAnsi" w:hAnsiTheme="minorHAnsi"/>
      <w:szCs w:val="22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F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F0B"/>
    <w:rPr>
      <w:rFonts w:ascii="Segoe UI" w:eastAsia="Times New Roman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313F3"/>
    <w:rPr>
      <w:color w:val="0563C1"/>
      <w:u w:val="single"/>
    </w:rPr>
  </w:style>
  <w:style w:type="paragraph" w:styleId="Revzia">
    <w:name w:val="Revision"/>
    <w:hidden/>
    <w:uiPriority w:val="99"/>
    <w:semiHidden/>
    <w:rsid w:val="002F65C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oj-tbl-txt">
    <w:name w:val="oj-tbl-txt"/>
    <w:basedOn w:val="Normlny"/>
    <w:rsid w:val="00DE181D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E95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E14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486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7E14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48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zp.sk/voda/verejne-vodovody-verejne-kanalizacie/" TargetMode="External"/><Relationship Id="rId1" Type="http://schemas.openxmlformats.org/officeDocument/2006/relationships/hyperlink" Target="https://eur-lex.europa.eu/legal-content/SK/TXT/?uri=CELEX:32020L218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F45366128E4B2CAFFA83F795C61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52227-6A64-4BB6-9A69-E104A4B5D666}"/>
      </w:docPartPr>
      <w:docPartBody>
        <w:p w:rsidR="00FD0C83" w:rsidRDefault="000F16B4" w:rsidP="000F16B4">
          <w:pPr>
            <w:pStyle w:val="3EF45366128E4B2CAFFA83F795C6143E"/>
          </w:pPr>
          <w:r w:rsidRPr="003D377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FD"/>
    <w:rsid w:val="000232ED"/>
    <w:rsid w:val="000F16B4"/>
    <w:rsid w:val="001307AE"/>
    <w:rsid w:val="00131E68"/>
    <w:rsid w:val="00223C8B"/>
    <w:rsid w:val="00263F76"/>
    <w:rsid w:val="002671FD"/>
    <w:rsid w:val="002B468D"/>
    <w:rsid w:val="002C500E"/>
    <w:rsid w:val="00340833"/>
    <w:rsid w:val="00356431"/>
    <w:rsid w:val="003F1136"/>
    <w:rsid w:val="003F5C77"/>
    <w:rsid w:val="0044190B"/>
    <w:rsid w:val="00503C96"/>
    <w:rsid w:val="00595D27"/>
    <w:rsid w:val="00696D43"/>
    <w:rsid w:val="00736219"/>
    <w:rsid w:val="00764E64"/>
    <w:rsid w:val="007F20CB"/>
    <w:rsid w:val="00811ABF"/>
    <w:rsid w:val="008448BF"/>
    <w:rsid w:val="009B180C"/>
    <w:rsid w:val="00A7405D"/>
    <w:rsid w:val="00AE7BAC"/>
    <w:rsid w:val="00B44AE3"/>
    <w:rsid w:val="00BF4749"/>
    <w:rsid w:val="00CA3F01"/>
    <w:rsid w:val="00D25D3F"/>
    <w:rsid w:val="00D6363B"/>
    <w:rsid w:val="00DC7113"/>
    <w:rsid w:val="00FC2F7D"/>
    <w:rsid w:val="00FD0C83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16B4"/>
    <w:rPr>
      <w:color w:val="808080"/>
    </w:rPr>
  </w:style>
  <w:style w:type="paragraph" w:customStyle="1" w:styleId="55E849078ABF42F7BF6F73C24A8944EB">
    <w:name w:val="55E849078ABF42F7BF6F73C24A8944EB"/>
    <w:rsid w:val="002671FD"/>
  </w:style>
  <w:style w:type="paragraph" w:customStyle="1" w:styleId="0F476C82BAAA475E8EBE6B70CA013A01">
    <w:name w:val="0F476C82BAAA475E8EBE6B70CA013A01"/>
    <w:rsid w:val="00131E68"/>
  </w:style>
  <w:style w:type="paragraph" w:customStyle="1" w:styleId="5C2419374390487F8D6C848D750227E5">
    <w:name w:val="5C2419374390487F8D6C848D750227E5"/>
    <w:rsid w:val="00131E68"/>
  </w:style>
  <w:style w:type="paragraph" w:customStyle="1" w:styleId="3EF45366128E4B2CAFFA83F795C6143E">
    <w:name w:val="3EF45366128E4B2CAFFA83F795C6143E"/>
    <w:rsid w:val="000F1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B022-1917-4998-A9AE-DD398F1D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2024-03-15T09:35:00Z</dcterms:created>
  <dcterms:modified xsi:type="dcterms:W3CDTF">2024-03-15T13:09:00Z</dcterms:modified>
</cp:coreProperties>
</file>