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2EA" w:rsidRDefault="005162EA" w:rsidP="004E7ED6">
      <w:pPr>
        <w:spacing w:after="212" w:line="276" w:lineRule="auto"/>
        <w:ind w:right="-7"/>
        <w:contextualSpacing/>
        <w:rPr>
          <w:rFonts w:asciiTheme="minorHAnsi" w:hAnsiTheme="minorHAnsi" w:cstheme="minorHAnsi"/>
          <w:b/>
          <w:color w:val="2E74B5" w:themeColor="accent1" w:themeShade="BF"/>
          <w:sz w:val="28"/>
          <w:u w:color="000000"/>
          <w:lang w:val="sk-SK"/>
        </w:rPr>
      </w:pPr>
    </w:p>
    <w:p w:rsidR="00EE7477" w:rsidRPr="00BD25D7" w:rsidRDefault="00BD25D7" w:rsidP="004E7ED6">
      <w:pPr>
        <w:spacing w:after="212" w:line="276" w:lineRule="auto"/>
        <w:ind w:right="-7"/>
        <w:contextualSpacing/>
        <w:rPr>
          <w:rFonts w:asciiTheme="minorHAnsi" w:hAnsiTheme="minorHAnsi" w:cstheme="minorHAnsi"/>
          <w:b/>
          <w:color w:val="2E74B5" w:themeColor="accent1" w:themeShade="BF"/>
          <w:sz w:val="28"/>
          <w:u w:color="000000"/>
          <w:lang w:val="sk-SK"/>
        </w:rPr>
      </w:pPr>
      <w:bookmarkStart w:id="0" w:name="_GoBack"/>
      <w:bookmarkEnd w:id="0"/>
      <w:r w:rsidRPr="00BD25D7">
        <w:rPr>
          <w:rFonts w:asciiTheme="minorHAnsi" w:hAnsiTheme="minorHAnsi" w:cstheme="minorHAnsi"/>
          <w:b/>
          <w:color w:val="2E74B5" w:themeColor="accent1" w:themeShade="BF"/>
          <w:sz w:val="28"/>
          <w:u w:color="000000"/>
          <w:lang w:val="sk-SK"/>
        </w:rPr>
        <w:t xml:space="preserve">Návrh na schválenie transferu vo výške </w:t>
      </w:r>
      <w:r w:rsidRPr="00BD25D7">
        <w:rPr>
          <w:rFonts w:asciiTheme="minorHAnsi" w:hAnsiTheme="minorHAnsi" w:cstheme="minorHAnsi"/>
          <w:b/>
          <w:bCs/>
          <w:color w:val="2E74B5" w:themeColor="accent1" w:themeShade="BF"/>
          <w:sz w:val="28"/>
          <w:u w:color="000000"/>
          <w:lang w:val="sk-SK"/>
        </w:rPr>
        <w:t>1 883 276 €</w:t>
      </w:r>
      <w:r w:rsidRPr="00BD25D7">
        <w:rPr>
          <w:rFonts w:asciiTheme="minorHAnsi" w:hAnsiTheme="minorHAnsi" w:cstheme="minorHAnsi"/>
          <w:b/>
          <w:color w:val="2E74B5" w:themeColor="accent1" w:themeShade="BF"/>
          <w:sz w:val="28"/>
          <w:u w:color="000000"/>
          <w:lang w:val="sk-SK"/>
        </w:rPr>
        <w:t xml:space="preserve"> z opatrenia 5.1.4 alokácie KR UMR Lučenec do opatrenia 5.2.4 alokácie RP BBSK </w:t>
      </w:r>
    </w:p>
    <w:p w:rsidR="004E7ED6" w:rsidRPr="00BD25D7" w:rsidRDefault="004E7ED6" w:rsidP="004E7ED6">
      <w:pPr>
        <w:spacing w:after="212" w:line="276" w:lineRule="auto"/>
        <w:ind w:right="-7"/>
        <w:contextualSpacing/>
        <w:rPr>
          <w:rFonts w:asciiTheme="minorHAnsi" w:hAnsiTheme="minorHAnsi" w:cstheme="minorHAnsi"/>
          <w:b/>
          <w:color w:val="2E74B5" w:themeColor="accent1" w:themeShade="BF"/>
          <w:sz w:val="28"/>
          <w:u w:color="000000"/>
          <w:lang w:val="sk-SK"/>
        </w:rPr>
      </w:pPr>
    </w:p>
    <w:p w:rsidR="004E7ED6" w:rsidRPr="00BD25D7" w:rsidRDefault="004E7ED6" w:rsidP="004E7ED6">
      <w:pPr>
        <w:tabs>
          <w:tab w:val="left" w:pos="6585"/>
        </w:tabs>
        <w:rPr>
          <w:rFonts w:ascii="Calibri" w:hAnsi="Calibri" w:cs="Calibri"/>
          <w:b/>
          <w:sz w:val="22"/>
          <w:szCs w:val="20"/>
          <w:lang w:val="sk-SK"/>
        </w:rPr>
      </w:pPr>
      <w:r w:rsidRPr="00BD25D7">
        <w:rPr>
          <w:rFonts w:ascii="Calibri" w:hAnsi="Calibri" w:cs="Calibri"/>
          <w:b/>
          <w:sz w:val="22"/>
          <w:szCs w:val="20"/>
          <w:lang w:val="sk-SK"/>
        </w:rPr>
        <w:t>Dôvodom transferu medzi Kooperačnou radou udržateľného mestského rozvoja (KR UMR) Lučenec a Radou partnerstva BBSK je plánované rozšírenie aktivít projektového zámeru IÚI “</w:t>
      </w:r>
      <w:r w:rsidRPr="00BD25D7">
        <w:rPr>
          <w:rFonts w:ascii="Calibri" w:hAnsi="Calibri" w:cs="Calibri"/>
          <w:b/>
          <w:i/>
          <w:iCs/>
          <w:sz w:val="22"/>
          <w:szCs w:val="20"/>
          <w:lang w:val="sk-SK"/>
        </w:rPr>
        <w:t>Výstavba regionálnej plavárne v Lučenci”.</w:t>
      </w:r>
    </w:p>
    <w:p w:rsidR="004E7ED6" w:rsidRPr="00BD25D7" w:rsidRDefault="004E7ED6" w:rsidP="00BD25D7">
      <w:pPr>
        <w:spacing w:after="223" w:line="276" w:lineRule="auto"/>
        <w:ind w:left="0" w:right="0" w:firstLine="0"/>
        <w:contextualSpacing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after="21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u w:val="single" w:color="000000"/>
          <w:lang w:val="sk-SK"/>
        </w:rPr>
        <w:t>Priebeh schvaľovania PZ IÚI: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Projektový zámer IÚI „Výstavba regionálnej plavárne v Lučenci“ bol schválený Radou partnerstva Banskobystrického samosprávneho kraja dňa 23. augusta 2023 Uznesením RP BBSK č.10/2023.  </w:t>
      </w:r>
    </w:p>
    <w:p w:rsidR="004E7ED6" w:rsidRPr="00BD25D7" w:rsidRDefault="004E7ED6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</w:p>
    <w:p w:rsidR="004E7ED6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Dňa 25. augusta 2023 bol schválený PZ IÚI, spolu s prílohami v zmysle Metodického usmernenia RO k podpore integrovaného územného rozvoja, zaslaný Ministerstvu investícií, regionálneho rozvoja a informatizácie SR.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Projektový zámer IÚI „Výstavba regionálnej plavárne v Lučenci“ bol predložený spolu so stanoviskom AK UMR na schválenie Kooperačnej rade Udržateľného mestského rozvoja Lučenec, ktorá PZ IÚI na svojom rokovaní dňa 19. septembra 2023 schválila Uznesením č.8/2023. Dňa 26. septembra 2023 bol schválený PZ IÚI spolu s prílohami v zmysle Metodického usmernenia RO k podpore integrovaného územného rozvoja zaslaný Ministerstvu investícií, regionálneho rozvoja a informatizácie SR.  </w:t>
      </w:r>
    </w:p>
    <w:p w:rsidR="004E7ED6" w:rsidRPr="00BD25D7" w:rsidRDefault="004E7ED6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Dňa 21.12.2023 bolo emailom žiadateľovi (Mestu Lučenec) doručené usmernenie MIRRI SR k postupu pri transfere alokácie v PO5 z alokácie RP do alokácie KR UMR, pričom je potrebné aby vo formulári PZ IÚI už boli identifikované celkové náklady na projekt, vrátane požadovaného transferu z alokácie RP. Žiadateľ (Mesto Lučenec) po konzultácii s RO opätovne schválil PZ IÚI „Výstavba regionálnej plavárne v Lučenci“ s pozmeňujúcim znením uznesenia KR UMR Lučenec č.1/2024 zo dňa 09.01.2024 v zmysle usmernenia MIRRI SR.  </w:t>
      </w:r>
    </w:p>
    <w:p w:rsidR="004E7ED6" w:rsidRPr="00BD25D7" w:rsidRDefault="004E7ED6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after="217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Vzhľadom k tomu, že projektový zámer IÚI „Výstavba regionálnej plavárne v Lučenci“ bol schvaľovaný v pôvodnom znení v auguste 2023 a po odporúčaní odboru strategického plánovania rozvoja, sekcia stratégie rozvoja a súdržnosti, MIRRI SR, nie je potrebné </w:t>
      </w:r>
      <w:proofErr w:type="spellStart"/>
      <w:r w:rsidRPr="00BD25D7">
        <w:rPr>
          <w:rFonts w:asciiTheme="minorHAnsi" w:hAnsiTheme="minorHAnsi" w:cstheme="minorHAnsi"/>
          <w:sz w:val="22"/>
          <w:lang w:val="sk-SK"/>
        </w:rPr>
        <w:t>preschvaľovať</w:t>
      </w:r>
      <w:proofErr w:type="spellEnd"/>
      <w:r w:rsidRPr="00BD25D7">
        <w:rPr>
          <w:rFonts w:asciiTheme="minorHAnsi" w:hAnsiTheme="minorHAnsi" w:cstheme="minorHAnsi"/>
          <w:sz w:val="22"/>
          <w:lang w:val="sk-SK"/>
        </w:rPr>
        <w:t xml:space="preserve"> PZ IÚI „Výstavba regionálnej plavárne v Lučenci“. Postačí uviesť informácie podľa pripomienok MD SR do informatívneho materiálu pre Monitorovací výbor PSK. NFP bude projektu poskytovaný až na základe informácií v </w:t>
      </w:r>
      <w:proofErr w:type="spellStart"/>
      <w:r w:rsidRPr="00BD25D7">
        <w:rPr>
          <w:rFonts w:asciiTheme="minorHAnsi" w:hAnsiTheme="minorHAnsi" w:cstheme="minorHAnsi"/>
          <w:sz w:val="22"/>
          <w:lang w:val="sk-SK"/>
        </w:rPr>
        <w:t>ŽoNFP</w:t>
      </w:r>
      <w:proofErr w:type="spellEnd"/>
      <w:r w:rsidRPr="00BD25D7">
        <w:rPr>
          <w:rFonts w:asciiTheme="minorHAnsi" w:hAnsiTheme="minorHAnsi" w:cstheme="minorHAnsi"/>
          <w:sz w:val="22"/>
          <w:lang w:val="sk-SK"/>
        </w:rPr>
        <w:t xml:space="preserve">, v ktorej bude potrebné uviesť správne údaje o dobe implementácie.  </w:t>
      </w:r>
    </w:p>
    <w:p w:rsidR="004E7ED6" w:rsidRPr="00BD25D7" w:rsidRDefault="004E7ED6" w:rsidP="004E7ED6">
      <w:pPr>
        <w:spacing w:after="217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after="0" w:line="276" w:lineRule="auto"/>
        <w:ind w:left="-5" w:right="-7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Komisia pri Monitorovacom výbore pre Program Slovensko 2021 - 2027 pre integrovaný územný rozvoj a pre cieľ 5 (Európa bližšie k občanom vďaka podpore udržateľného a integrovaného rozvoja všetkých typov území a miestnych iniciatív) politiky súdržnosti EÚ </w:t>
      </w: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odporučila na schválenie Monitorovaciemu výboru pre Program Slovensko 2021 – 2027 úpravu Programu Slovensko 2021 – 2027 podľa dokumentu Návrh na presun časti alokácie Programu Slovensko 2021 – 2027 v sume 1 883 276 eur za zdroj EÚ z opatrenia 5.2.4 do opatrenia 5.1.4 a uložila úlohu Ministerstvu investícií, regionálneho rozvoja a informatizácie Slovenskej republiky predložiť Monitorovaciemu výboru pre Program </w:t>
      </w:r>
      <w:r w:rsidRPr="00BD25D7">
        <w:rPr>
          <w:rFonts w:asciiTheme="minorHAnsi" w:hAnsiTheme="minorHAnsi" w:cstheme="minorHAnsi"/>
          <w:b/>
          <w:sz w:val="22"/>
          <w:lang w:val="sk-SK"/>
        </w:rPr>
        <w:lastRenderedPageBreak/>
        <w:t>Slovensko 2021 – 2027 na schválenie upravený Program Slovensko 2021 – 2027 na základe zmien, uvedených v dokumente Návrh na presun časti alokácie Programu Slovensko 2021 – 2027 v sume 1 883 276 eur za zdroj EÚ z opatrenia 5.2.4 do opatrenia 5.1.4</w:t>
      </w:r>
      <w:r w:rsidRPr="00BD25D7">
        <w:rPr>
          <w:rFonts w:asciiTheme="minorHAnsi" w:hAnsiTheme="minorHAnsi" w:cstheme="minorHAnsi"/>
          <w:i/>
          <w:sz w:val="22"/>
          <w:lang w:val="sk-SK"/>
        </w:rPr>
        <w:t xml:space="preserve">.(Uznesenie Komisie pri MV č.2/2024) 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4E7ED6" w:rsidRPr="00BD25D7" w:rsidRDefault="004E7ED6" w:rsidP="004E7ED6">
      <w:pPr>
        <w:spacing w:after="173" w:line="276" w:lineRule="auto"/>
        <w:ind w:left="-5" w:right="-7"/>
        <w:contextualSpacing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after="0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Na základe vyhlásenej výzvy dňa 26.09.2024 pre opatrenie 5.1.4 Výzva na investície do regionálnej a miestnej infraštruktúry pre pohybové aktivity a cykloturistiku, kód výzvy: PSK-MIRRI-015-2024-ITI- EFRR bol žiadateľom Mesto </w:t>
      </w:r>
    </w:p>
    <w:p w:rsidR="00164EC9" w:rsidRPr="00BD25D7" w:rsidRDefault="00604C13" w:rsidP="004E7ED6">
      <w:pPr>
        <w:spacing w:after="0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Lučenec aktualizovaný predmetný PZ IÚI v zmysle vyhlásenej výzvy a doručený dňa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04.10.2024 AK UMR Lučenec. Dňa 04.10. 2024 bol predmetný PZ zaslaný Regionálnemu centru MIRRI SR a tiež Sekcii implementácie Programu Slovensko/Odbor riadenia implementácie, na posúdenie z pohľadu časovej oprávnenosti aktivít a tiež z pohľadu prerozdelenia indikatívneho rozpočtu. 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Dňa 06.11.2024 sa Sekcia implementácie Programu Slovensko/Odbor riadenia implementácie obrátila so žiadosťou o stanovisko k časovej oprávnenosti PZ aj na Centrálny koordinačný orgán. Dňa 20.11.2024 bolo doručené stanovisko CKO, v súlade s ktorým poskytovateľ posúdil fyzické dokončenie projektu. (Príloha- stanovisko MIRRI SR zo dňa 20.11.2024). 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V zmysle doručeného usmernenia zo strany MIRRI SR bolo vydané stanovisko AK UMR s odporučením pre KR UMR Lučenec </w:t>
      </w: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neschváliť 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aktualizovaný PZ „Výstavba regionálnej plavárne v Lučenci“ a </w:t>
      </w: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zrušiť 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Uznesenie Kooperačnej rady Udržateľného mestského rozvoja Lučenec č.8/2023 zo dňa 19.09.2023 a Uznesenie Kooperačnej rady Udržateľného mestského rozvoja Lučenec č.1/2024 zo dňa 09.01.2024.  </w:t>
      </w:r>
    </w:p>
    <w:p w:rsidR="00BD25D7" w:rsidRPr="00BD25D7" w:rsidRDefault="00BD25D7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after="220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Dňa 19.12.2024 KR UMR Lučenec na svojom rokovaní schválila uznesenie č. 69/2024 (Príloha– Uznesenie č. 69/2024) , na základe ktorého došlo k nechváleniu aktualizovaného PZ IÚI „Výstavba regionálnej plavárne v Lučenci“ a k zrušeniu uznesení č. 1/2024 zo dňa 09.01.2024 a č. 8/2023 zo dňa 19.09.2023. </w:t>
      </w:r>
    </w:p>
    <w:p w:rsidR="00164EC9" w:rsidRPr="00BD25D7" w:rsidRDefault="00604C13" w:rsidP="004E7ED6">
      <w:pPr>
        <w:spacing w:after="221" w:line="276" w:lineRule="auto"/>
        <w:ind w:left="-5" w:right="0"/>
        <w:contextualSpacing/>
        <w:rPr>
          <w:rFonts w:asciiTheme="minorHAnsi" w:hAnsiTheme="minorHAnsi" w:cstheme="minorHAnsi"/>
          <w:b/>
          <w:sz w:val="22"/>
          <w:lang w:val="sk-SK"/>
        </w:rPr>
      </w:pP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Dňa 17.1.2025 bola doručená Žiadosť o súhlasné stanovisko Kooperačnej rady UMR Lučenec k transferu sumy vo výške 1 883 276 € (zdroj EFR), z alokácie KR UMR Lučenec v opatrení 5.1.4 do alokácie RP BBSK v opatrení 5.2.4, na základe ktorej prebehlo hlasovanie členov KR UMR Lučenec písomnou procedúrou per </w:t>
      </w:r>
      <w:proofErr w:type="spellStart"/>
      <w:r w:rsidRPr="00BD25D7">
        <w:rPr>
          <w:rFonts w:asciiTheme="minorHAnsi" w:hAnsiTheme="minorHAnsi" w:cstheme="minorHAnsi"/>
          <w:b/>
          <w:sz w:val="22"/>
          <w:lang w:val="sk-SK"/>
        </w:rPr>
        <w:t>rollam</w:t>
      </w:r>
      <w:proofErr w:type="spellEnd"/>
      <w:r w:rsidRPr="00BD25D7">
        <w:rPr>
          <w:rFonts w:asciiTheme="minorHAnsi" w:hAnsiTheme="minorHAnsi" w:cstheme="minorHAnsi"/>
          <w:b/>
          <w:sz w:val="22"/>
          <w:lang w:val="sk-SK"/>
        </w:rPr>
        <w:t xml:space="preserve"> v termíne od 17.01.205- do 31.01.2025. </w:t>
      </w:r>
    </w:p>
    <w:p w:rsidR="00BD25D7" w:rsidRPr="00BD25D7" w:rsidRDefault="00BD25D7" w:rsidP="004E7ED6">
      <w:pPr>
        <w:spacing w:after="221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after="25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u w:color="000000"/>
          <w:lang w:val="sk-SK"/>
        </w:rPr>
        <w:t>V zmysle vyššie uvedených usmernení uvádzame nasledovné aktualizované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  <w:r w:rsidRPr="00BD25D7">
        <w:rPr>
          <w:rFonts w:asciiTheme="minorHAnsi" w:hAnsiTheme="minorHAnsi" w:cstheme="minorHAnsi"/>
          <w:sz w:val="22"/>
          <w:u w:color="000000"/>
          <w:lang w:val="sk-SK"/>
        </w:rPr>
        <w:t>doplňujúce informácie k PZ IÚI „Výstavba regionálnej plavárne v Lučenci“: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BD25D7" w:rsidRPr="00BD25D7" w:rsidRDefault="00BD25D7" w:rsidP="004E7ED6">
      <w:pPr>
        <w:spacing w:after="25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</w:p>
    <w:p w:rsidR="00BD25D7" w:rsidRPr="00BD25D7" w:rsidRDefault="00BD25D7" w:rsidP="00BD25D7">
      <w:pPr>
        <w:spacing w:after="25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u w:val="single" w:color="000000"/>
          <w:lang w:val="sk-SK"/>
        </w:rPr>
        <w:t>Opis Projektového zámeru (PZ IÚI):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BD25D7" w:rsidRPr="00BD25D7" w:rsidRDefault="00BD25D7" w:rsidP="00BD25D7">
      <w:pPr>
        <w:spacing w:after="219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Hlavným dôvodom prečo sa mesto Lučenec ako žiadateľ rozhodlo realizovať projekt – „Výstavba regionálnej plavárne“ – a vytvoriť komplexný areál pre šport, oddych a zábavu, a priniesť ho svojim obyvateľom a širokej verejnosti v rámci regiónu, bola absencia funkčnej regionálnej plavárne. Jednalo sa o vybudovanie úplne nového objektu, ktorý bude spĺňať najvyššie štandardy moderného športoviska.  </w:t>
      </w:r>
    </w:p>
    <w:p w:rsidR="00BD25D7" w:rsidRPr="00BD25D7" w:rsidRDefault="00BD25D7" w:rsidP="00BD25D7">
      <w:pPr>
        <w:spacing w:after="219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</w:p>
    <w:p w:rsidR="00BD25D7" w:rsidRPr="00BD25D7" w:rsidRDefault="00BD25D7" w:rsidP="00BD25D7">
      <w:pPr>
        <w:spacing w:after="25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u w:val="single" w:color="000000"/>
          <w:lang w:val="sk-SK"/>
        </w:rPr>
        <w:t>Zámer projektu: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BD25D7" w:rsidRPr="00BD25D7" w:rsidRDefault="00BD25D7" w:rsidP="00BD25D7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Vybudovanie plaveckého bazéna (25 x 12,5m) so šiestimi dráhami (podľa pravidiel /FINA) a detského bazéna (3,7x3,7m) spolu s wellness, priestormi pre občerstvenie, technickými a obslužnými miestnosťami a technickým priestorom pre bazénovú technológiu. Navrhovaný projekt ponecháva možnosť budúceho rozšírenia resp. doplnenie priestorov podľa potrieb návštevníkov a rovnako tak aj </w:t>
      </w:r>
      <w:r w:rsidRPr="00BD25D7">
        <w:rPr>
          <w:rFonts w:asciiTheme="minorHAnsi" w:hAnsiTheme="minorHAnsi" w:cstheme="minorHAnsi"/>
          <w:sz w:val="22"/>
          <w:lang w:val="sk-SK"/>
        </w:rPr>
        <w:lastRenderedPageBreak/>
        <w:t xml:space="preserve">prepojenie na exteriérové spojenie areálu regionálnej plavárne s areálom letného mestského kúpaliska, ktoré sa nachádza v bezprostrednom okolí. </w:t>
      </w:r>
    </w:p>
    <w:p w:rsidR="00BD25D7" w:rsidRPr="00BD25D7" w:rsidRDefault="00BD25D7" w:rsidP="00BD25D7">
      <w:pPr>
        <w:spacing w:after="221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Plaváreň je navrhovaná v lokalite mesta Lučenec, kde sú už situované športové zariadenia- futbalový štadión, tenisové kurty. Budova plavárne je umiestnená za kúpaliskom, ktoré je prístupné miestnou asfaltovou komunikáciou napojenou na Športovú ulicu. </w:t>
      </w:r>
    </w:p>
    <w:p w:rsidR="00BD25D7" w:rsidRPr="00BD25D7" w:rsidRDefault="00BD25D7" w:rsidP="00BD25D7">
      <w:pPr>
        <w:spacing w:after="221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</w:p>
    <w:p w:rsidR="00BD25D7" w:rsidRPr="00BD25D7" w:rsidRDefault="00BD25D7" w:rsidP="00BD25D7">
      <w:pPr>
        <w:spacing w:after="25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u w:val="single" w:color="000000"/>
          <w:lang w:val="sk-SK"/>
        </w:rPr>
        <w:t>Aktuálny stav PZ: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 </w:t>
      </w:r>
    </w:p>
    <w:p w:rsidR="00BD25D7" w:rsidRPr="00BD25D7" w:rsidRDefault="00BD25D7" w:rsidP="00BD25D7">
      <w:pPr>
        <w:spacing w:after="223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Mesto Lučenec v súčasnosti už vybudovalo regionálnu plaváreň na základe podpísanej Zmluvy o dielo (vrátane Dodatkov), kde časť aktivít projektu je už financovaná z Fondu na podporu športu. Žiadateľ deklaroval, že plánovaná podpora cez IÚS BBSK / IÚS UMR Lučenec bude finančne oddelená a bude zabezpečená kontrola duplicitného financovania výdavkov projektu. Zmluva o dielo na výstavbu regionálnej plavárne bola podpísaná 08/2022. Výstavba prebehla v roku 2022 a 2023. Následne bola od 09/2024 realizovaná skúšobná prevádzka a kolaudácia. </w:t>
      </w:r>
      <w:proofErr w:type="spellStart"/>
      <w:r w:rsidRPr="00BD25D7">
        <w:rPr>
          <w:rFonts w:asciiTheme="minorHAnsi" w:hAnsiTheme="minorHAnsi" w:cstheme="minorHAnsi"/>
          <w:sz w:val="22"/>
          <w:lang w:val="sk-SK"/>
        </w:rPr>
        <w:t>Link</w:t>
      </w:r>
      <w:proofErr w:type="spellEnd"/>
      <w:r w:rsidRPr="00BD25D7">
        <w:rPr>
          <w:rFonts w:asciiTheme="minorHAnsi" w:hAnsiTheme="minorHAnsi" w:cstheme="minorHAnsi"/>
          <w:sz w:val="22"/>
          <w:lang w:val="sk-SK"/>
        </w:rPr>
        <w:t xml:space="preserve"> na podpísanú </w:t>
      </w:r>
      <w:proofErr w:type="spellStart"/>
      <w:r w:rsidRPr="00BD25D7">
        <w:rPr>
          <w:rFonts w:asciiTheme="minorHAnsi" w:hAnsiTheme="minorHAnsi" w:cstheme="minorHAnsi"/>
          <w:sz w:val="22"/>
          <w:lang w:val="sk-SK"/>
        </w:rPr>
        <w:t>ZoD</w:t>
      </w:r>
      <w:proofErr w:type="spellEnd"/>
      <w:r w:rsidRPr="00BD25D7">
        <w:rPr>
          <w:rFonts w:asciiTheme="minorHAnsi" w:hAnsiTheme="minorHAnsi" w:cstheme="minorHAnsi"/>
          <w:sz w:val="22"/>
          <w:lang w:val="sk-SK"/>
        </w:rPr>
        <w:t xml:space="preserve">: https://www.crz.gov.sk/zmluva/6786519/ . Podrobné členenie stavby sa nachádza v rekapitulácii stavebných objektov , ako príloha k </w:t>
      </w:r>
      <w:proofErr w:type="spellStart"/>
      <w:r w:rsidRPr="00BD25D7">
        <w:rPr>
          <w:rFonts w:asciiTheme="minorHAnsi" w:hAnsiTheme="minorHAnsi" w:cstheme="minorHAnsi"/>
          <w:sz w:val="22"/>
          <w:lang w:val="sk-SK"/>
        </w:rPr>
        <w:t>ZoD</w:t>
      </w:r>
      <w:proofErr w:type="spellEnd"/>
      <w:r w:rsidRPr="00BD25D7">
        <w:rPr>
          <w:rFonts w:asciiTheme="minorHAnsi" w:hAnsiTheme="minorHAnsi" w:cstheme="minorHAnsi"/>
          <w:i/>
          <w:color w:val="FF0000"/>
          <w:sz w:val="22"/>
          <w:lang w:val="sk-SK"/>
        </w:rPr>
        <w:t xml:space="preserve">. 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BD25D7" w:rsidRPr="00BD25D7" w:rsidRDefault="00BD25D7" w:rsidP="004E7ED6">
      <w:pPr>
        <w:spacing w:after="25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</w:p>
    <w:p w:rsidR="00BD25D7" w:rsidRPr="00BD25D7" w:rsidRDefault="00BD25D7" w:rsidP="004E7ED6">
      <w:pPr>
        <w:spacing w:after="25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after="0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b/>
          <w:sz w:val="22"/>
          <w:u w:val="single" w:color="000000"/>
          <w:lang w:val="sk-SK"/>
        </w:rPr>
        <w:t>1.zoznam aktivít</w:t>
      </w: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 </w:t>
      </w:r>
    </w:p>
    <w:p w:rsidR="00164EC9" w:rsidRPr="00BD25D7" w:rsidRDefault="00604C13" w:rsidP="004E7ED6">
      <w:pPr>
        <w:spacing w:after="0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AKTIVITA 1: Vybudovanie regionálnej plavárne </w:t>
      </w:r>
    </w:p>
    <w:p w:rsidR="00164EC9" w:rsidRPr="00BD25D7" w:rsidRDefault="00604C13" w:rsidP="004E7ED6">
      <w:pPr>
        <w:spacing w:after="57" w:line="276" w:lineRule="auto"/>
        <w:ind w:left="0" w:right="0" w:firstLine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 </w:t>
      </w:r>
    </w:p>
    <w:p w:rsidR="00164EC9" w:rsidRPr="00BD25D7" w:rsidRDefault="00604C13" w:rsidP="004E7ED6">
      <w:pPr>
        <w:spacing w:after="0" w:line="276" w:lineRule="auto"/>
        <w:ind w:left="-5" w:right="4744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b/>
          <w:sz w:val="22"/>
          <w:u w:val="single" w:color="000000"/>
          <w:lang w:val="sk-SK"/>
        </w:rPr>
        <w:t>2. celkové náklady projektu</w:t>
      </w: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  Rozpočet uvedený v PZ IÚI: </w:t>
      </w:r>
    </w:p>
    <w:tbl>
      <w:tblPr>
        <w:tblStyle w:val="TableGrid"/>
        <w:tblW w:w="9186" w:type="dxa"/>
        <w:tblInd w:w="-55" w:type="dxa"/>
        <w:tblCellMar>
          <w:top w:w="41" w:type="dxa"/>
          <w:left w:w="55" w:type="dxa"/>
          <w:right w:w="56" w:type="dxa"/>
        </w:tblCellMar>
        <w:tblLook w:val="04A0" w:firstRow="1" w:lastRow="0" w:firstColumn="1" w:lastColumn="0" w:noHBand="0" w:noVBand="1"/>
      </w:tblPr>
      <w:tblGrid>
        <w:gridCol w:w="1548"/>
        <w:gridCol w:w="1217"/>
        <w:gridCol w:w="1294"/>
        <w:gridCol w:w="1736"/>
        <w:gridCol w:w="1625"/>
        <w:gridCol w:w="1766"/>
      </w:tblGrid>
      <w:tr w:rsidR="00164EC9" w:rsidRPr="00BD25D7">
        <w:trPr>
          <w:trHeight w:val="724"/>
        </w:trPr>
        <w:tc>
          <w:tcPr>
            <w:tcW w:w="15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</w:tcPr>
          <w:p w:rsidR="00164EC9" w:rsidRPr="00BD25D7" w:rsidRDefault="00164EC9" w:rsidP="004E7ED6">
            <w:pPr>
              <w:spacing w:after="160" w:line="276" w:lineRule="auto"/>
              <w:ind w:left="0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</w:p>
        </w:tc>
        <w:tc>
          <w:tcPr>
            <w:tcW w:w="12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:rsidR="00164EC9" w:rsidRPr="00BD25D7" w:rsidRDefault="00604C13" w:rsidP="004E7ED6">
            <w:pPr>
              <w:spacing w:after="0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b/>
                <w:sz w:val="22"/>
                <w:lang w:val="sk-SK"/>
              </w:rPr>
              <w:t xml:space="preserve">P. č. </w:t>
            </w:r>
          </w:p>
        </w:tc>
        <w:tc>
          <w:tcPr>
            <w:tcW w:w="12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164EC9" w:rsidRPr="00BD25D7" w:rsidRDefault="00604C13" w:rsidP="004E7ED6">
            <w:pPr>
              <w:spacing w:after="0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b/>
                <w:sz w:val="22"/>
                <w:lang w:val="sk-SK"/>
              </w:rPr>
              <w:t xml:space="preserve">Názov skupiny výdavkov  </w:t>
            </w:r>
          </w:p>
        </w:tc>
        <w:tc>
          <w:tcPr>
            <w:tcW w:w="17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:rsidR="00164EC9" w:rsidRPr="00BD25D7" w:rsidRDefault="00604C13" w:rsidP="004E7ED6">
            <w:pPr>
              <w:spacing w:after="40" w:line="276" w:lineRule="auto"/>
              <w:ind w:left="3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b/>
                <w:sz w:val="22"/>
                <w:lang w:val="sk-SK"/>
              </w:rPr>
              <w:t xml:space="preserve">Aktivita projektu </w:t>
            </w:r>
          </w:p>
          <w:p w:rsidR="00164EC9" w:rsidRPr="00BD25D7" w:rsidRDefault="00604C13" w:rsidP="004E7ED6">
            <w:pPr>
              <w:spacing w:after="0" w:line="276" w:lineRule="auto"/>
              <w:ind w:left="3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b/>
                <w:sz w:val="22"/>
                <w:lang w:val="sk-SK"/>
              </w:rPr>
              <w:t xml:space="preserve">IÚI </w:t>
            </w:r>
          </w:p>
        </w:tc>
        <w:tc>
          <w:tcPr>
            <w:tcW w:w="162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:rsidR="00164EC9" w:rsidRPr="00BD25D7" w:rsidRDefault="00604C13" w:rsidP="004E7ED6">
            <w:pPr>
              <w:spacing w:after="0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b/>
                <w:sz w:val="22"/>
                <w:lang w:val="sk-SK"/>
              </w:rPr>
              <w:t xml:space="preserve">Celková suma (EUR) </w:t>
            </w:r>
          </w:p>
        </w:tc>
        <w:tc>
          <w:tcPr>
            <w:tcW w:w="17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164EC9" w:rsidRPr="00BD25D7" w:rsidRDefault="00604C13" w:rsidP="004E7ED6">
            <w:pPr>
              <w:spacing w:after="0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b/>
                <w:sz w:val="22"/>
                <w:lang w:val="sk-SK"/>
              </w:rPr>
              <w:t xml:space="preserve">Komentár (stručný popis položky) </w:t>
            </w:r>
          </w:p>
        </w:tc>
      </w:tr>
      <w:tr w:rsidR="00164EC9" w:rsidRPr="00BD25D7">
        <w:trPr>
          <w:trHeight w:val="1913"/>
        </w:trPr>
        <w:tc>
          <w:tcPr>
            <w:tcW w:w="154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:rsidR="00164EC9" w:rsidRPr="00BD25D7" w:rsidRDefault="00604C13" w:rsidP="004E7ED6">
            <w:pPr>
              <w:spacing w:after="0" w:line="276" w:lineRule="auto"/>
              <w:ind w:left="0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b/>
                <w:sz w:val="22"/>
                <w:lang w:val="sk-SK"/>
              </w:rPr>
              <w:t>Rozpočet žiadateľa (celkové oprávnené výdavky)</w:t>
            </w:r>
            <w:r w:rsidRPr="00BD25D7">
              <w:rPr>
                <w:rFonts w:asciiTheme="minorHAnsi" w:hAnsiTheme="minorHAnsi" w:cstheme="minorHAnsi"/>
                <w:sz w:val="22"/>
                <w:vertAlign w:val="superscript"/>
                <w:lang w:val="sk-SK"/>
              </w:rPr>
              <w:t>)</w:t>
            </w:r>
            <w:r w:rsidRPr="00BD25D7">
              <w:rPr>
                <w:rFonts w:asciiTheme="minorHAnsi" w:hAnsiTheme="minorHAnsi" w:cstheme="minorHAnsi"/>
                <w:b/>
                <w:sz w:val="22"/>
                <w:lang w:val="sk-SK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164EC9" w:rsidRPr="00BD25D7" w:rsidRDefault="00604C13" w:rsidP="004E7ED6">
            <w:pPr>
              <w:spacing w:after="0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 xml:space="preserve">1 </w:t>
            </w:r>
          </w:p>
        </w:tc>
        <w:tc>
          <w:tcPr>
            <w:tcW w:w="12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164EC9" w:rsidRPr="00BD25D7" w:rsidRDefault="00604C13" w:rsidP="004E7ED6">
            <w:pPr>
              <w:spacing w:after="0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 xml:space="preserve">  021 Stavby </w:t>
            </w:r>
          </w:p>
        </w:tc>
        <w:tc>
          <w:tcPr>
            <w:tcW w:w="17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164EC9" w:rsidRPr="00BD25D7" w:rsidRDefault="00604C13" w:rsidP="004E7ED6">
            <w:pPr>
              <w:spacing w:after="0" w:line="276" w:lineRule="auto"/>
              <w:ind w:left="3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 xml:space="preserve">Výstavba regionálnej plavárne </w:t>
            </w:r>
          </w:p>
        </w:tc>
        <w:tc>
          <w:tcPr>
            <w:tcW w:w="162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164EC9" w:rsidRPr="00BD25D7" w:rsidRDefault="00604C13" w:rsidP="004E7ED6">
            <w:pPr>
              <w:spacing w:after="44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 xml:space="preserve">  </w:t>
            </w:r>
          </w:p>
          <w:p w:rsidR="00164EC9" w:rsidRPr="00BD25D7" w:rsidRDefault="00604C13" w:rsidP="004E7ED6">
            <w:pPr>
              <w:tabs>
                <w:tab w:val="center" w:pos="881"/>
              </w:tabs>
              <w:spacing w:after="0" w:line="276" w:lineRule="auto"/>
              <w:ind w:left="0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 xml:space="preserve">5 719 298 </w:t>
            </w:r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ab/>
              <w:t xml:space="preserve"> € </w:t>
            </w:r>
          </w:p>
        </w:tc>
        <w:tc>
          <w:tcPr>
            <w:tcW w:w="17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64EC9" w:rsidRPr="00BD25D7" w:rsidRDefault="00604C13" w:rsidP="004E7ED6">
            <w:pPr>
              <w:spacing w:after="0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 xml:space="preserve">COV: (v rámci predkladaného PZ) 2 319 007 EUR Zdroje EÚ 85%: 1 971 156 EUR </w:t>
            </w:r>
          </w:p>
          <w:p w:rsidR="00164EC9" w:rsidRPr="00BD25D7" w:rsidRDefault="00604C13" w:rsidP="004E7ED6">
            <w:pPr>
              <w:spacing w:after="0" w:line="276" w:lineRule="auto"/>
              <w:ind w:left="2" w:right="0" w:firstLine="0"/>
              <w:contextualSpacing/>
              <w:jc w:val="left"/>
              <w:rPr>
                <w:rFonts w:asciiTheme="minorHAnsi" w:hAnsiTheme="minorHAnsi" w:cstheme="minorHAnsi"/>
                <w:sz w:val="22"/>
                <w:lang w:val="sk-SK"/>
              </w:rPr>
            </w:pPr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 xml:space="preserve">V zmysle </w:t>
            </w:r>
            <w:proofErr w:type="spellStart"/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>ZoD</w:t>
            </w:r>
            <w:proofErr w:type="spellEnd"/>
            <w:r w:rsidRPr="00BD25D7">
              <w:rPr>
                <w:rFonts w:asciiTheme="minorHAnsi" w:hAnsiTheme="minorHAnsi" w:cstheme="minorHAnsi"/>
                <w:sz w:val="22"/>
                <w:lang w:val="sk-SK"/>
              </w:rPr>
              <w:t xml:space="preserve"> s Dodatkom č. 3: 5 719 297,62 EUR </w:t>
            </w:r>
          </w:p>
        </w:tc>
      </w:tr>
    </w:tbl>
    <w:p w:rsidR="00164EC9" w:rsidRPr="00BD25D7" w:rsidRDefault="00604C13" w:rsidP="004E7ED6">
      <w:pPr>
        <w:spacing w:after="0" w:line="276" w:lineRule="auto"/>
        <w:ind w:left="0" w:right="9012" w:firstLine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  </w:t>
      </w:r>
    </w:p>
    <w:p w:rsidR="00164EC9" w:rsidRPr="00BD25D7" w:rsidRDefault="00604C13" w:rsidP="004E7ED6">
      <w:pPr>
        <w:spacing w:after="246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b/>
          <w:sz w:val="22"/>
          <w:u w:val="single" w:color="000000"/>
          <w:lang w:val="sk-SK"/>
        </w:rPr>
        <w:t>Záver:</w:t>
      </w:r>
      <w:r w:rsidRPr="00BD25D7">
        <w:rPr>
          <w:rFonts w:asciiTheme="minorHAnsi" w:hAnsiTheme="minorHAnsi" w:cstheme="minorHAnsi"/>
          <w:b/>
          <w:sz w:val="22"/>
          <w:lang w:val="sk-SK"/>
        </w:rPr>
        <w:t xml:space="preserve"> </w:t>
      </w:r>
    </w:p>
    <w:p w:rsidR="00164EC9" w:rsidRPr="00BD25D7" w:rsidRDefault="00604C13" w:rsidP="004E7ED6">
      <w:pPr>
        <w:spacing w:after="26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Vzhľadom na stanovisko Sekcie implementácie Programu Slovensko, že projekt </w:t>
      </w:r>
    </w:p>
    <w:p w:rsidR="00164EC9" w:rsidRPr="00BD25D7" w:rsidRDefault="00604C13" w:rsidP="004E7ED6">
      <w:pPr>
        <w:spacing w:after="11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Výstavba regionálnej plavárne v Lučenci nie je možné na základe potreby dodržania ustanovenia článku 63, ods. 6 Nariadenia Európskeho parlamentu a Rady (EÚ) 2021/1060 z 24. júna 2021, podľa ktorého sa podpora neposkytne na operácie </w:t>
      </w:r>
    </w:p>
    <w:p w:rsidR="00164EC9" w:rsidRPr="00BD25D7" w:rsidRDefault="00604C13" w:rsidP="004E7ED6">
      <w:pPr>
        <w:spacing w:after="224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(projekty), ktoré sa fyzicky dokončili alebo plne vykonali ešte pred predložením žiadosti o financovanie. 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Skúšobná prevádzka začala v septembri 2024, čo je chápané ako fyzické dokončenie predmetu projektu.  </w:t>
      </w:r>
    </w:p>
    <w:p w:rsidR="00164EC9" w:rsidRPr="00BD25D7" w:rsidRDefault="00604C13" w:rsidP="004E7ED6">
      <w:pPr>
        <w:spacing w:after="219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Na základe vyššie uvedeného nie je projekt Výstavba regionálnej plavárne oprávnený na schválenie v KR UMR Lučenec a následné podanie žiadosti o NFP.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lastRenderedPageBreak/>
        <w:t xml:space="preserve">Keďže na tento projektový zámer sa viaže schválený transfer z RP BBSK je potrebné predmetný transfer finančných prostriedkov na základe doručenej žiadosti žiadateľa: Rada partnerstva BBSK zo dňa 17.1.2025 vrátiť.  </w:t>
      </w:r>
    </w:p>
    <w:p w:rsidR="00164EC9" w:rsidRPr="00BD25D7" w:rsidRDefault="00164EC9" w:rsidP="004E7ED6">
      <w:pPr>
        <w:spacing w:after="260" w:line="276" w:lineRule="auto"/>
        <w:ind w:left="0" w:right="0" w:firstLine="0"/>
        <w:contextualSpacing/>
        <w:jc w:val="left"/>
        <w:rPr>
          <w:rFonts w:asciiTheme="minorHAnsi" w:hAnsiTheme="minorHAnsi" w:cstheme="minorHAnsi"/>
          <w:sz w:val="22"/>
          <w:lang w:val="sk-SK"/>
        </w:rPr>
      </w:pPr>
    </w:p>
    <w:p w:rsidR="00164EC9" w:rsidRPr="00BD25D7" w:rsidRDefault="00604C13" w:rsidP="004E7ED6">
      <w:pPr>
        <w:spacing w:after="258" w:line="276" w:lineRule="auto"/>
        <w:ind w:left="-5" w:right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u w:val="single" w:color="000000"/>
          <w:lang w:val="sk-SK"/>
        </w:rPr>
        <w:t>Prílohy: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164EC9" w:rsidRPr="00BD25D7" w:rsidRDefault="00604C13" w:rsidP="004E7ED6">
      <w:pPr>
        <w:spacing w:after="226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1./ PZ IÚI „ Výstavba regionálnej plavárne </w:t>
      </w:r>
    </w:p>
    <w:p w:rsidR="00164EC9" w:rsidRPr="00BD25D7" w:rsidRDefault="00604C13" w:rsidP="004E7ED6">
      <w:pPr>
        <w:spacing w:after="226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2./ Uznesenie KR UMR Lučenec č. 69/2024 zo dňa 19.12.2024 </w:t>
      </w:r>
    </w:p>
    <w:p w:rsidR="00164EC9" w:rsidRPr="00BD25D7" w:rsidRDefault="00604C13" w:rsidP="004E7ED6">
      <w:pPr>
        <w:spacing w:after="215"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>3./ Stanovisko Sekcie implementácie Programu Slovensko</w:t>
      </w:r>
      <w:r w:rsidRPr="00BD25D7">
        <w:rPr>
          <w:rFonts w:asciiTheme="minorHAnsi" w:eastAsia="Calibri" w:hAnsiTheme="minorHAnsi" w:cstheme="minorHAnsi"/>
          <w:sz w:val="22"/>
          <w:lang w:val="sk-SK"/>
        </w:rPr>
        <w:t>/</w:t>
      </w:r>
      <w:r w:rsidRPr="00BD25D7">
        <w:rPr>
          <w:rFonts w:asciiTheme="minorHAnsi" w:hAnsiTheme="minorHAnsi" w:cstheme="minorHAnsi"/>
          <w:sz w:val="22"/>
          <w:lang w:val="sk-SK"/>
        </w:rPr>
        <w:t xml:space="preserve">MIRRI SR zo dňa 20.11.2024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4./ Žiadosť o súhlasné stanovisko Kooperačnej rady UMR Lučenec k transferu sumy vo výške 1 883 276 € (zdroj EFR), z alokácie KR UMR Lučenec v opatrení 5.1.4 do alokácie RP BBSK v opatrení 5.2.4 </w:t>
      </w:r>
    </w:p>
    <w:p w:rsidR="00164EC9" w:rsidRPr="00BD25D7" w:rsidRDefault="00604C13" w:rsidP="004E7ED6">
      <w:pPr>
        <w:spacing w:after="237" w:line="276" w:lineRule="auto"/>
        <w:ind w:left="0" w:right="0" w:firstLine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164EC9" w:rsidRPr="00BD25D7" w:rsidRDefault="00604C13" w:rsidP="004E7ED6">
      <w:pPr>
        <w:spacing w:line="276" w:lineRule="auto"/>
        <w:ind w:left="-5" w:right="0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V Lučenci, 03.02.2025 </w:t>
      </w:r>
    </w:p>
    <w:p w:rsidR="00164EC9" w:rsidRPr="00BD25D7" w:rsidRDefault="00604C13" w:rsidP="004E7ED6">
      <w:pPr>
        <w:spacing w:after="220" w:line="276" w:lineRule="auto"/>
        <w:ind w:left="0" w:right="0" w:firstLine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</w:p>
    <w:p w:rsidR="00164EC9" w:rsidRPr="00BD25D7" w:rsidRDefault="00604C13" w:rsidP="004E7ED6">
      <w:pPr>
        <w:tabs>
          <w:tab w:val="center" w:pos="941"/>
          <w:tab w:val="center" w:pos="1649"/>
          <w:tab w:val="center" w:pos="2357"/>
          <w:tab w:val="center" w:pos="3065"/>
          <w:tab w:val="center" w:pos="3773"/>
          <w:tab w:val="center" w:pos="4482"/>
          <w:tab w:val="center" w:pos="5190"/>
          <w:tab w:val="center" w:pos="5898"/>
          <w:tab w:val="right" w:pos="9079"/>
        </w:tabs>
        <w:spacing w:after="259" w:line="276" w:lineRule="auto"/>
        <w:ind w:left="0" w:right="0" w:firstLine="0"/>
        <w:contextualSpacing/>
        <w:jc w:val="left"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eastAsia="Calibri" w:hAnsiTheme="minorHAnsi" w:cstheme="minorHAnsi"/>
          <w:sz w:val="22"/>
          <w:lang w:val="sk-SK"/>
        </w:rPr>
        <w:tab/>
      </w:r>
      <w:r w:rsidRPr="00BD25D7">
        <w:rPr>
          <w:rFonts w:asciiTheme="minorHAnsi" w:hAnsiTheme="minorHAnsi" w:cstheme="minorHAnsi"/>
          <w:sz w:val="22"/>
          <w:lang w:val="sk-SK"/>
        </w:rPr>
        <w:t xml:space="preserve"> </w:t>
      </w:r>
      <w:r w:rsidRPr="00BD25D7">
        <w:rPr>
          <w:rFonts w:asciiTheme="minorHAnsi" w:hAnsiTheme="minorHAnsi" w:cstheme="minorHAnsi"/>
          <w:sz w:val="22"/>
          <w:lang w:val="sk-SK"/>
        </w:rPr>
        <w:tab/>
        <w:t xml:space="preserve"> </w:t>
      </w:r>
      <w:r w:rsidRPr="00BD25D7">
        <w:rPr>
          <w:rFonts w:asciiTheme="minorHAnsi" w:hAnsiTheme="minorHAnsi" w:cstheme="minorHAnsi"/>
          <w:sz w:val="22"/>
          <w:lang w:val="sk-SK"/>
        </w:rPr>
        <w:tab/>
        <w:t xml:space="preserve"> </w:t>
      </w:r>
      <w:r w:rsidRPr="00BD25D7">
        <w:rPr>
          <w:rFonts w:asciiTheme="minorHAnsi" w:hAnsiTheme="minorHAnsi" w:cstheme="minorHAnsi"/>
          <w:sz w:val="22"/>
          <w:lang w:val="sk-SK"/>
        </w:rPr>
        <w:tab/>
        <w:t xml:space="preserve"> </w:t>
      </w:r>
      <w:r w:rsidRPr="00BD25D7">
        <w:rPr>
          <w:rFonts w:asciiTheme="minorHAnsi" w:hAnsiTheme="minorHAnsi" w:cstheme="minorHAnsi"/>
          <w:sz w:val="22"/>
          <w:lang w:val="sk-SK"/>
        </w:rPr>
        <w:tab/>
        <w:t xml:space="preserve"> </w:t>
      </w:r>
      <w:r w:rsidRPr="00BD25D7">
        <w:rPr>
          <w:rFonts w:asciiTheme="minorHAnsi" w:hAnsiTheme="minorHAnsi" w:cstheme="minorHAnsi"/>
          <w:sz w:val="22"/>
          <w:lang w:val="sk-SK"/>
        </w:rPr>
        <w:tab/>
        <w:t xml:space="preserve"> </w:t>
      </w:r>
      <w:r w:rsidRPr="00BD25D7">
        <w:rPr>
          <w:rFonts w:asciiTheme="minorHAnsi" w:hAnsiTheme="minorHAnsi" w:cstheme="minorHAnsi"/>
          <w:sz w:val="22"/>
          <w:lang w:val="sk-SK"/>
        </w:rPr>
        <w:tab/>
        <w:t xml:space="preserve"> </w:t>
      </w:r>
      <w:r w:rsidRPr="00BD25D7">
        <w:rPr>
          <w:rFonts w:asciiTheme="minorHAnsi" w:hAnsiTheme="minorHAnsi" w:cstheme="minorHAnsi"/>
          <w:sz w:val="22"/>
          <w:lang w:val="sk-SK"/>
        </w:rPr>
        <w:tab/>
        <w:t xml:space="preserve"> </w:t>
      </w:r>
      <w:r w:rsidRPr="00BD25D7">
        <w:rPr>
          <w:rFonts w:asciiTheme="minorHAnsi" w:hAnsiTheme="minorHAnsi" w:cstheme="minorHAnsi"/>
          <w:sz w:val="22"/>
          <w:lang w:val="sk-SK"/>
        </w:rPr>
        <w:tab/>
        <w:t xml:space="preserve">    ................................. </w:t>
      </w:r>
    </w:p>
    <w:p w:rsidR="00164EC9" w:rsidRPr="00BD25D7" w:rsidRDefault="00604C13" w:rsidP="004E7ED6">
      <w:pPr>
        <w:spacing w:line="276" w:lineRule="auto"/>
        <w:ind w:left="7165" w:right="0" w:hanging="547"/>
        <w:contextualSpacing/>
        <w:rPr>
          <w:rFonts w:asciiTheme="minorHAnsi" w:hAnsiTheme="minorHAnsi" w:cstheme="minorHAnsi"/>
          <w:sz w:val="22"/>
          <w:lang w:val="sk-SK"/>
        </w:rPr>
      </w:pPr>
      <w:r w:rsidRPr="00BD25D7">
        <w:rPr>
          <w:rFonts w:asciiTheme="minorHAnsi" w:hAnsiTheme="minorHAnsi" w:cstheme="minorHAnsi"/>
          <w:sz w:val="22"/>
          <w:lang w:val="sk-SK"/>
        </w:rPr>
        <w:t xml:space="preserve">Ing. Erika </w:t>
      </w:r>
      <w:proofErr w:type="spellStart"/>
      <w:r w:rsidRPr="00BD25D7">
        <w:rPr>
          <w:rFonts w:asciiTheme="minorHAnsi" w:hAnsiTheme="minorHAnsi" w:cstheme="minorHAnsi"/>
          <w:sz w:val="22"/>
          <w:lang w:val="sk-SK"/>
        </w:rPr>
        <w:t>Dobrová</w:t>
      </w:r>
      <w:proofErr w:type="spellEnd"/>
      <w:r w:rsidRPr="00BD25D7">
        <w:rPr>
          <w:rFonts w:asciiTheme="minorHAnsi" w:hAnsiTheme="minorHAnsi" w:cstheme="minorHAnsi"/>
          <w:sz w:val="22"/>
          <w:lang w:val="sk-SK"/>
        </w:rPr>
        <w:t xml:space="preserve">, </w:t>
      </w:r>
      <w:proofErr w:type="spellStart"/>
      <w:r w:rsidRPr="00BD25D7">
        <w:rPr>
          <w:rFonts w:asciiTheme="minorHAnsi" w:hAnsiTheme="minorHAnsi" w:cstheme="minorHAnsi"/>
          <w:sz w:val="22"/>
          <w:lang w:val="sk-SK"/>
        </w:rPr>
        <w:t>v.r</w:t>
      </w:r>
      <w:proofErr w:type="spellEnd"/>
      <w:r w:rsidRPr="00BD25D7">
        <w:rPr>
          <w:rFonts w:asciiTheme="minorHAnsi" w:hAnsiTheme="minorHAnsi" w:cstheme="minorHAnsi"/>
          <w:sz w:val="22"/>
          <w:lang w:val="sk-SK"/>
        </w:rPr>
        <w:t xml:space="preserve">. AK UMR Lučenec </w:t>
      </w:r>
    </w:p>
    <w:sectPr w:rsidR="00164EC9" w:rsidRPr="00BD25D7">
      <w:headerReference w:type="default" r:id="rId7"/>
      <w:pgSz w:w="11906" w:h="16838"/>
      <w:pgMar w:top="1456" w:right="1411" w:bottom="1447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2EA" w:rsidRDefault="005162EA" w:rsidP="005162EA">
      <w:pPr>
        <w:spacing w:after="0" w:line="240" w:lineRule="auto"/>
      </w:pPr>
      <w:r>
        <w:separator/>
      </w:r>
    </w:p>
  </w:endnote>
  <w:endnote w:type="continuationSeparator" w:id="0">
    <w:p w:rsidR="005162EA" w:rsidRDefault="005162EA" w:rsidP="00516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2EA" w:rsidRDefault="005162EA" w:rsidP="005162EA">
      <w:pPr>
        <w:spacing w:after="0" w:line="240" w:lineRule="auto"/>
      </w:pPr>
      <w:r>
        <w:separator/>
      </w:r>
    </w:p>
  </w:footnote>
  <w:footnote w:type="continuationSeparator" w:id="0">
    <w:p w:rsidR="005162EA" w:rsidRDefault="005162EA" w:rsidP="00516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2EA" w:rsidRDefault="005162EA">
    <w:pPr>
      <w:pStyle w:val="Hlavi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AE00C6" wp14:editId="7460A409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6" name="Obrázok 6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162EA" w:rsidRDefault="005162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B5D56"/>
    <w:multiLevelType w:val="hybridMultilevel"/>
    <w:tmpl w:val="FDCE8450"/>
    <w:lvl w:ilvl="0" w:tplc="8C7A9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A680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0678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623E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6EC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9ECF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290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62B4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8C41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EC9"/>
    <w:rsid w:val="00164EC9"/>
    <w:rsid w:val="00272D27"/>
    <w:rsid w:val="00390484"/>
    <w:rsid w:val="004E7ED6"/>
    <w:rsid w:val="005162EA"/>
    <w:rsid w:val="00604C13"/>
    <w:rsid w:val="00BD25D7"/>
    <w:rsid w:val="00E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9DEF"/>
  <w15:docId w15:val="{FCE44279-3109-456C-AE43-C9343CD1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81" w:line="293" w:lineRule="auto"/>
      <w:ind w:left="10" w:right="5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16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62EA"/>
    <w:rPr>
      <w:rFonts w:ascii="Arial" w:eastAsia="Arial" w:hAnsi="Arial" w:cs="Arial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516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62EA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4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1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Ochabova Andrea</dc:creator>
  <cp:keywords/>
  <cp:lastModifiedBy>Dobroň, Michal</cp:lastModifiedBy>
  <cp:revision>6</cp:revision>
  <dcterms:created xsi:type="dcterms:W3CDTF">2025-02-04T08:30:00Z</dcterms:created>
  <dcterms:modified xsi:type="dcterms:W3CDTF">2025-02-04T10:35:00Z</dcterms:modified>
</cp:coreProperties>
</file>