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B99" w:rsidRPr="003B2B99" w:rsidRDefault="003B2B99">
      <w:pPr>
        <w:spacing w:after="0"/>
        <w:ind w:right="0"/>
        <w:jc w:val="left"/>
        <w:rPr>
          <w:lang w:val="sk-SK"/>
        </w:rPr>
      </w:pPr>
    </w:p>
    <w:p w:rsidR="003B2B99" w:rsidRPr="003B2B99" w:rsidRDefault="003B2B99">
      <w:pPr>
        <w:spacing w:after="0"/>
        <w:ind w:right="0"/>
        <w:jc w:val="left"/>
        <w:rPr>
          <w:rStyle w:val="Siln"/>
          <w:color w:val="2E74B5" w:themeColor="accent1" w:themeShade="BF"/>
          <w:lang w:val="sk-SK"/>
        </w:rPr>
      </w:pPr>
    </w:p>
    <w:p w:rsidR="00000000" w:rsidRPr="003B2B99" w:rsidRDefault="00FF1E73" w:rsidP="003B2B99">
      <w:pPr>
        <w:ind w:right="0"/>
        <w:rPr>
          <w:rStyle w:val="Siln"/>
          <w:color w:val="2E74B5" w:themeColor="accent1" w:themeShade="BF"/>
          <w:sz w:val="26"/>
          <w:szCs w:val="26"/>
          <w:lang w:val="sk-SK"/>
        </w:rPr>
      </w:pPr>
      <w:r w:rsidRPr="003B2B99">
        <w:rPr>
          <w:rStyle w:val="Siln"/>
          <w:color w:val="2E74B5" w:themeColor="accent1" w:themeShade="BF"/>
          <w:sz w:val="26"/>
          <w:szCs w:val="26"/>
          <w:lang w:val="sk-SK"/>
        </w:rPr>
        <w:t xml:space="preserve">Návrh na schválenie transferu vo výške </w:t>
      </w:r>
      <w:r w:rsidRPr="003B2B99">
        <w:rPr>
          <w:rStyle w:val="Siln"/>
          <w:color w:val="2E74B5" w:themeColor="accent1" w:themeShade="BF"/>
          <w:sz w:val="26"/>
          <w:szCs w:val="26"/>
          <w:lang w:val="sk-SK"/>
        </w:rPr>
        <w:t>1 126 816,6 €</w:t>
      </w:r>
      <w:r w:rsidRPr="003B2B99">
        <w:rPr>
          <w:rStyle w:val="Siln"/>
          <w:color w:val="2E74B5" w:themeColor="accent1" w:themeShade="BF"/>
          <w:sz w:val="26"/>
          <w:szCs w:val="26"/>
          <w:lang w:val="sk-SK"/>
        </w:rPr>
        <w:t xml:space="preserve"> z opatrenia 5.2.4 alokácie </w:t>
      </w:r>
      <w:r w:rsidRPr="003B2B99">
        <w:rPr>
          <w:rStyle w:val="Siln"/>
          <w:color w:val="2E74B5" w:themeColor="accent1" w:themeShade="BF"/>
          <w:sz w:val="26"/>
          <w:szCs w:val="26"/>
          <w:lang w:val="sk-SK"/>
        </w:rPr>
        <w:t>RP BBSK</w:t>
      </w:r>
      <w:r w:rsidRPr="003B2B99">
        <w:rPr>
          <w:rStyle w:val="Siln"/>
          <w:color w:val="2E74B5" w:themeColor="accent1" w:themeShade="BF"/>
          <w:sz w:val="26"/>
          <w:szCs w:val="26"/>
          <w:lang w:val="sk-SK"/>
        </w:rPr>
        <w:t xml:space="preserve"> do opatrenia 5.1.4 alokácie </w:t>
      </w:r>
      <w:r w:rsidRPr="003B2B99">
        <w:rPr>
          <w:rStyle w:val="Siln"/>
          <w:color w:val="2E74B5" w:themeColor="accent1" w:themeShade="BF"/>
          <w:sz w:val="26"/>
          <w:szCs w:val="26"/>
          <w:lang w:val="sk-SK"/>
        </w:rPr>
        <w:t>KR UMR Rimavská Sobota</w:t>
      </w:r>
      <w:r w:rsidRPr="003B2B99">
        <w:rPr>
          <w:rStyle w:val="Siln"/>
          <w:color w:val="2E74B5" w:themeColor="accent1" w:themeShade="BF"/>
          <w:sz w:val="26"/>
          <w:szCs w:val="26"/>
          <w:lang w:val="sk-SK"/>
        </w:rPr>
        <w:t xml:space="preserve"> na </w:t>
      </w:r>
      <w:r w:rsidRPr="003B2B99">
        <w:rPr>
          <w:rStyle w:val="Siln"/>
          <w:color w:val="2E74B5" w:themeColor="accent1" w:themeShade="BF"/>
          <w:sz w:val="26"/>
          <w:szCs w:val="26"/>
          <w:lang w:val="sk-SK"/>
        </w:rPr>
        <w:t xml:space="preserve">PZ IÚI </w:t>
      </w:r>
      <w:r w:rsidRPr="003B2B99">
        <w:rPr>
          <w:rStyle w:val="Siln"/>
          <w:color w:val="2E74B5" w:themeColor="accent1" w:themeShade="BF"/>
          <w:sz w:val="26"/>
          <w:szCs w:val="26"/>
          <w:lang w:val="sk-SK"/>
        </w:rPr>
        <w:t>Rekonštrukcia plavárne v Rimavskej Sobote </w:t>
      </w:r>
      <w:r w:rsidRPr="003B2B99">
        <w:rPr>
          <w:rStyle w:val="Siln"/>
          <w:color w:val="2E74B5" w:themeColor="accent1" w:themeShade="BF"/>
          <w:sz w:val="26"/>
          <w:szCs w:val="26"/>
          <w:lang w:val="sk-SK"/>
        </w:rPr>
        <w:t xml:space="preserve">a zároveň návrh na schválenie transferu vo výške </w:t>
      </w:r>
      <w:r w:rsidRPr="003B2B99">
        <w:rPr>
          <w:rStyle w:val="Siln"/>
          <w:color w:val="2E74B5" w:themeColor="accent1" w:themeShade="BF"/>
          <w:sz w:val="26"/>
          <w:szCs w:val="26"/>
          <w:lang w:val="sk-SK"/>
        </w:rPr>
        <w:t>1 542 033,59 €</w:t>
      </w:r>
      <w:r w:rsidRPr="003B2B99">
        <w:rPr>
          <w:rStyle w:val="Siln"/>
          <w:color w:val="2E74B5" w:themeColor="accent1" w:themeShade="BF"/>
          <w:sz w:val="26"/>
          <w:szCs w:val="26"/>
          <w:lang w:val="sk-SK"/>
        </w:rPr>
        <w:t xml:space="preserve"> z alokácie </w:t>
      </w:r>
      <w:r w:rsidRPr="003B2B99">
        <w:rPr>
          <w:rStyle w:val="Siln"/>
          <w:color w:val="2E74B5" w:themeColor="accent1" w:themeShade="BF"/>
          <w:sz w:val="26"/>
          <w:szCs w:val="26"/>
          <w:lang w:val="sk-SK"/>
        </w:rPr>
        <w:t>RP BBSK</w:t>
      </w:r>
      <w:r w:rsidRPr="003B2B99">
        <w:rPr>
          <w:rStyle w:val="Siln"/>
          <w:color w:val="2E74B5" w:themeColor="accent1" w:themeShade="BF"/>
          <w:sz w:val="26"/>
          <w:szCs w:val="26"/>
          <w:lang w:val="sk-SK"/>
        </w:rPr>
        <w:t xml:space="preserve"> z opatrenia 2.1.2 do opatrenia 2.1.2 alokácie </w:t>
      </w:r>
      <w:r w:rsidRPr="003B2B99">
        <w:rPr>
          <w:rStyle w:val="Siln"/>
          <w:color w:val="2E74B5" w:themeColor="accent1" w:themeShade="BF"/>
          <w:sz w:val="26"/>
          <w:szCs w:val="26"/>
          <w:lang w:val="sk-SK"/>
        </w:rPr>
        <w:t>KR UMR Rimavská Sobota</w:t>
      </w:r>
      <w:r w:rsidRPr="003B2B99">
        <w:rPr>
          <w:rStyle w:val="Siln"/>
          <w:color w:val="2E74B5" w:themeColor="accent1" w:themeShade="BF"/>
          <w:sz w:val="26"/>
          <w:szCs w:val="26"/>
          <w:lang w:val="sk-SK"/>
        </w:rPr>
        <w:t xml:space="preserve"> na</w:t>
      </w:r>
      <w:r w:rsidRPr="003B2B99">
        <w:rPr>
          <w:rStyle w:val="Siln"/>
          <w:color w:val="2E74B5" w:themeColor="accent1" w:themeShade="BF"/>
          <w:sz w:val="26"/>
          <w:szCs w:val="26"/>
          <w:lang w:val="sk-SK"/>
        </w:rPr>
        <w:t xml:space="preserve"> </w:t>
      </w:r>
      <w:r w:rsidRPr="003B2B99">
        <w:rPr>
          <w:rStyle w:val="Siln"/>
          <w:color w:val="2E74B5" w:themeColor="accent1" w:themeShade="BF"/>
          <w:sz w:val="26"/>
          <w:szCs w:val="26"/>
          <w:lang w:val="sk-SK"/>
        </w:rPr>
        <w:t xml:space="preserve">PZ IÚI </w:t>
      </w:r>
      <w:r w:rsidRPr="003B2B99">
        <w:rPr>
          <w:rStyle w:val="Siln"/>
          <w:color w:val="2E74B5" w:themeColor="accent1" w:themeShade="BF"/>
          <w:sz w:val="26"/>
          <w:szCs w:val="26"/>
          <w:lang w:val="sk-SK"/>
        </w:rPr>
        <w:t>Rekonštrukcia plavárne v Rimavskej Sobote</w:t>
      </w:r>
    </w:p>
    <w:p w:rsidR="003B2B99" w:rsidRPr="003B2B99" w:rsidRDefault="003B2B99" w:rsidP="003B2B99">
      <w:pPr>
        <w:ind w:right="0"/>
        <w:rPr>
          <w:b/>
          <w:lang w:val="sk-SK"/>
        </w:rPr>
      </w:pPr>
    </w:p>
    <w:p w:rsidR="003B2B99" w:rsidRPr="003B2B99" w:rsidRDefault="003B2B99" w:rsidP="003B2B99">
      <w:pPr>
        <w:tabs>
          <w:tab w:val="left" w:pos="6585"/>
        </w:tabs>
        <w:rPr>
          <w:b/>
          <w:sz w:val="22"/>
          <w:lang w:val="sk-SK"/>
        </w:rPr>
      </w:pPr>
      <w:r w:rsidRPr="003B2B99">
        <w:rPr>
          <w:b/>
          <w:sz w:val="22"/>
          <w:lang w:val="sk-SK"/>
        </w:rPr>
        <w:t>Dôvodom transfer</w:t>
      </w:r>
      <w:r w:rsidRPr="003B2B99">
        <w:rPr>
          <w:b/>
          <w:sz w:val="22"/>
          <w:lang w:val="sk-SK"/>
        </w:rPr>
        <w:t>ov</w:t>
      </w:r>
      <w:r w:rsidRPr="003B2B99">
        <w:rPr>
          <w:b/>
          <w:sz w:val="22"/>
          <w:lang w:val="sk-SK"/>
        </w:rPr>
        <w:t xml:space="preserve"> z alokácie opatrenia 5.2.4 Rad</w:t>
      </w:r>
      <w:r w:rsidRPr="003B2B99">
        <w:rPr>
          <w:b/>
          <w:sz w:val="22"/>
          <w:lang w:val="sk-SK"/>
        </w:rPr>
        <w:t>y</w:t>
      </w:r>
      <w:r w:rsidRPr="003B2B99">
        <w:rPr>
          <w:b/>
          <w:sz w:val="22"/>
          <w:lang w:val="sk-SK"/>
        </w:rPr>
        <w:t xml:space="preserve"> partnerstva BBSK</w:t>
      </w:r>
      <w:r w:rsidRPr="003B2B99">
        <w:rPr>
          <w:b/>
          <w:sz w:val="22"/>
          <w:lang w:val="sk-SK"/>
        </w:rPr>
        <w:t xml:space="preserve"> do alokácie 5.1.4 alokácie </w:t>
      </w:r>
      <w:r w:rsidRPr="003B2B99">
        <w:rPr>
          <w:b/>
          <w:sz w:val="22"/>
          <w:lang w:val="sk-SK"/>
        </w:rPr>
        <w:t>Kooperačn</w:t>
      </w:r>
      <w:r w:rsidRPr="003B2B99">
        <w:rPr>
          <w:b/>
          <w:sz w:val="22"/>
          <w:lang w:val="sk-SK"/>
        </w:rPr>
        <w:t>ej</w:t>
      </w:r>
      <w:r w:rsidRPr="003B2B99">
        <w:rPr>
          <w:b/>
          <w:sz w:val="22"/>
          <w:lang w:val="sk-SK"/>
        </w:rPr>
        <w:t xml:space="preserve"> rad</w:t>
      </w:r>
      <w:r w:rsidRPr="003B2B99">
        <w:rPr>
          <w:b/>
          <w:sz w:val="22"/>
          <w:lang w:val="sk-SK"/>
        </w:rPr>
        <w:t>y</w:t>
      </w:r>
      <w:r w:rsidRPr="003B2B99">
        <w:rPr>
          <w:b/>
          <w:sz w:val="22"/>
          <w:lang w:val="sk-SK"/>
        </w:rPr>
        <w:t xml:space="preserve"> udržateľného mestského rozvoja (KR UMR) Rimavská Sobota</w:t>
      </w:r>
      <w:r w:rsidRPr="003B2B99">
        <w:rPr>
          <w:b/>
          <w:sz w:val="22"/>
          <w:lang w:val="sk-SK"/>
        </w:rPr>
        <w:t xml:space="preserve"> a z alokácie opatrenia 2.1.2 </w:t>
      </w:r>
      <w:r w:rsidRPr="003B2B99">
        <w:rPr>
          <w:b/>
          <w:sz w:val="22"/>
          <w:lang w:val="sk-SK"/>
        </w:rPr>
        <w:t>Rady partnerstva BBSK do alokácie</w:t>
      </w:r>
      <w:r w:rsidRPr="003B2B99">
        <w:rPr>
          <w:b/>
          <w:sz w:val="22"/>
          <w:lang w:val="sk-SK"/>
        </w:rPr>
        <w:t xml:space="preserve"> opatrenia 2.1.2 KR UMR Rimavská Sobota </w:t>
      </w:r>
      <w:r w:rsidRPr="003B2B99">
        <w:rPr>
          <w:b/>
          <w:sz w:val="22"/>
          <w:lang w:val="sk-SK"/>
        </w:rPr>
        <w:t xml:space="preserve">je </w:t>
      </w:r>
      <w:r w:rsidRPr="003B2B99">
        <w:rPr>
          <w:b/>
          <w:sz w:val="22"/>
          <w:lang w:val="sk-SK"/>
        </w:rPr>
        <w:t>realizácia projektového zámeru IÚI Rekonštrukcia plavárne v Rimavskej Sobote.</w:t>
      </w:r>
    </w:p>
    <w:p w:rsidR="003B2B99" w:rsidRPr="003B2B99" w:rsidRDefault="003B2B99" w:rsidP="003B2B99">
      <w:pPr>
        <w:ind w:right="0"/>
        <w:rPr>
          <w:b/>
          <w:lang w:val="sk-SK"/>
        </w:rPr>
      </w:pPr>
      <w:bookmarkStart w:id="0" w:name="_GoBack"/>
      <w:bookmarkEnd w:id="0"/>
    </w:p>
    <w:p w:rsidR="008733D5" w:rsidRPr="003B2B99" w:rsidRDefault="002C6609">
      <w:pPr>
        <w:ind w:left="-5" w:right="0"/>
        <w:rPr>
          <w:sz w:val="22"/>
          <w:lang w:val="sk-SK"/>
        </w:rPr>
      </w:pPr>
      <w:r w:rsidRPr="003B2B99">
        <w:rPr>
          <w:sz w:val="22"/>
          <w:lang w:val="sk-SK"/>
        </w:rPr>
        <w:t xml:space="preserve">Mesto Rimavská Sobota ako žiadateľ má záujem realizovať projekt Rekonštrukcie plavárne v Rimavskej Sobote. Predmetom tohto projektu integrovanej územnej investície je obnova športového areálu, konkrétne regionálnej plavárne v meste Rimavská Sobota.  </w:t>
      </w:r>
    </w:p>
    <w:p w:rsidR="008733D5" w:rsidRPr="003B2B99" w:rsidRDefault="002C6609">
      <w:pPr>
        <w:ind w:left="-5" w:right="0"/>
        <w:rPr>
          <w:sz w:val="22"/>
          <w:lang w:val="sk-SK"/>
        </w:rPr>
      </w:pPr>
      <w:r w:rsidRPr="003B2B99">
        <w:rPr>
          <w:sz w:val="22"/>
          <w:lang w:val="sk-SK"/>
        </w:rPr>
        <w:t xml:space="preserve">Rekonštrukciou plavárne sa zabezpečí jej ďalšie využívanie a sprístupní sa plne funkčná plaváreň regionálneho charakteru, ktorá bude slúžiť všetkým obyvateľom mesta Rimavská Sobota, okresu Rimavská Sobota, ale aj niektorým obciam zo susediacich okresov. Realizáciou projektu sa zabezpečí podpora budovania športovej infraštruktúry, čo bude viesť k zvýšeniu atraktivity športu, pohybu a aktívneho trávenia voľného času.  </w:t>
      </w:r>
    </w:p>
    <w:p w:rsidR="008733D5" w:rsidRPr="003B2B99" w:rsidRDefault="002C6609">
      <w:pPr>
        <w:ind w:left="-5" w:right="0"/>
        <w:rPr>
          <w:sz w:val="22"/>
          <w:lang w:val="sk-SK"/>
        </w:rPr>
      </w:pPr>
      <w:r w:rsidRPr="003B2B99">
        <w:rPr>
          <w:sz w:val="22"/>
          <w:lang w:val="sk-SK"/>
        </w:rPr>
        <w:t xml:space="preserve">Rekonštrukcia plavárne bude mať pozitívny vplyv aj na životné prostredie. Zabezpečí zníženie energetickej náročnosti budovy, a spolu s ekologickejším spôsobom vykurovania budovy a výrobou energie prostredníctvom </w:t>
      </w:r>
      <w:proofErr w:type="spellStart"/>
      <w:r w:rsidRPr="003B2B99">
        <w:rPr>
          <w:sz w:val="22"/>
          <w:lang w:val="sk-SK"/>
        </w:rPr>
        <w:t>fotovolt</w:t>
      </w:r>
      <w:r w:rsidR="003B2B99" w:rsidRPr="003B2B99">
        <w:rPr>
          <w:sz w:val="22"/>
          <w:lang w:val="sk-SK"/>
        </w:rPr>
        <w:t>a</w:t>
      </w:r>
      <w:r w:rsidRPr="003B2B99">
        <w:rPr>
          <w:sz w:val="22"/>
          <w:lang w:val="sk-SK"/>
        </w:rPr>
        <w:t>ických</w:t>
      </w:r>
      <w:proofErr w:type="spellEnd"/>
      <w:r w:rsidRPr="003B2B99">
        <w:rPr>
          <w:sz w:val="22"/>
          <w:lang w:val="sk-SK"/>
        </w:rPr>
        <w:t xml:space="preserve"> panelov prispeje  k zníženiu emisií CO2. Okrem zateplenia obvodového plášťa a strechy budovy, výmeny otvorových konštrukcií, a modernizácie osvetlenia, projekt rieši aj obnovu bazénových a ostatných priestorov plavárne, vzduchotechniky, elektroinštalácie a ústredného vykurovania. </w:t>
      </w:r>
    </w:p>
    <w:p w:rsidR="008733D5" w:rsidRPr="003B2B99" w:rsidRDefault="002C6609">
      <w:pPr>
        <w:spacing w:after="1"/>
        <w:ind w:left="-5" w:right="0"/>
        <w:rPr>
          <w:sz w:val="22"/>
          <w:lang w:val="sk-SK"/>
        </w:rPr>
      </w:pPr>
      <w:r w:rsidRPr="003B2B99">
        <w:rPr>
          <w:sz w:val="22"/>
          <w:lang w:val="sk-SK"/>
        </w:rPr>
        <w:t xml:space="preserve">Celkové predpokladané výdavky projektového zámeru sú vo výške 5 244 100,81 €, z toho celkové oprávnené výdavky predstavujú 4 816 738,12 € (zdroj EÚ: 4 094 227,40 €). Celkové výdavky podľa jednotlivých opatrení sú nasledovné:  </w:t>
      </w:r>
    </w:p>
    <w:p w:rsidR="003B2B99" w:rsidRPr="003B2B99" w:rsidRDefault="003B2B99">
      <w:pPr>
        <w:spacing w:after="1"/>
        <w:ind w:left="-5" w:right="0"/>
        <w:rPr>
          <w:sz w:val="22"/>
          <w:lang w:val="sk-SK"/>
        </w:rPr>
      </w:pPr>
    </w:p>
    <w:tbl>
      <w:tblPr>
        <w:tblStyle w:val="TableGrid"/>
        <w:tblW w:w="9060" w:type="dxa"/>
        <w:tblInd w:w="7" w:type="dxa"/>
        <w:tblCellMar>
          <w:top w:w="52" w:type="dxa"/>
          <w:left w:w="108" w:type="dxa"/>
          <w:right w:w="52" w:type="dxa"/>
        </w:tblCellMar>
        <w:tblLook w:val="04A0" w:firstRow="1" w:lastRow="0" w:firstColumn="1" w:lastColumn="0" w:noHBand="0" w:noVBand="1"/>
      </w:tblPr>
      <w:tblGrid>
        <w:gridCol w:w="2263"/>
        <w:gridCol w:w="2266"/>
        <w:gridCol w:w="2266"/>
        <w:gridCol w:w="2265"/>
      </w:tblGrid>
      <w:tr w:rsidR="008733D5" w:rsidRPr="003B2B99">
        <w:trPr>
          <w:trHeight w:val="596"/>
        </w:trPr>
        <w:tc>
          <w:tcPr>
            <w:tcW w:w="2263" w:type="dxa"/>
            <w:tcBorders>
              <w:top w:val="single" w:sz="4" w:space="0" w:color="000000"/>
              <w:left w:val="single" w:sz="4" w:space="0" w:color="000000"/>
              <w:bottom w:val="single" w:sz="4" w:space="0" w:color="000000"/>
              <w:right w:val="single" w:sz="4" w:space="0" w:color="000000"/>
            </w:tcBorders>
            <w:shd w:val="clear" w:color="auto" w:fill="E7E6E6"/>
          </w:tcPr>
          <w:p w:rsidR="008733D5" w:rsidRPr="003B2B99" w:rsidRDefault="002C6609">
            <w:pPr>
              <w:spacing w:after="0"/>
              <w:ind w:left="0" w:right="0" w:firstLine="0"/>
              <w:jc w:val="left"/>
              <w:rPr>
                <w:sz w:val="22"/>
                <w:lang w:val="sk-SK"/>
              </w:rPr>
            </w:pPr>
            <w:r w:rsidRPr="003B2B99">
              <w:rPr>
                <w:b/>
                <w:sz w:val="22"/>
                <w:lang w:val="sk-SK"/>
              </w:rPr>
              <w:t xml:space="preserve">Výdavky </w:t>
            </w:r>
          </w:p>
        </w:tc>
        <w:tc>
          <w:tcPr>
            <w:tcW w:w="2266" w:type="dxa"/>
            <w:tcBorders>
              <w:top w:val="single" w:sz="4" w:space="0" w:color="000000"/>
              <w:left w:val="single" w:sz="4" w:space="0" w:color="000000"/>
              <w:bottom w:val="single" w:sz="4" w:space="0" w:color="000000"/>
              <w:right w:val="single" w:sz="4" w:space="0" w:color="000000"/>
            </w:tcBorders>
            <w:shd w:val="clear" w:color="auto" w:fill="F2F2F2"/>
          </w:tcPr>
          <w:p w:rsidR="008733D5" w:rsidRPr="003B2B99" w:rsidRDefault="002C6609">
            <w:pPr>
              <w:spacing w:after="0"/>
              <w:ind w:left="112" w:right="113" w:firstLine="0"/>
              <w:jc w:val="center"/>
              <w:rPr>
                <w:sz w:val="22"/>
                <w:lang w:val="sk-SK"/>
              </w:rPr>
            </w:pPr>
            <w:r w:rsidRPr="003B2B99">
              <w:rPr>
                <w:b/>
                <w:sz w:val="22"/>
                <w:lang w:val="sk-SK"/>
              </w:rPr>
              <w:t xml:space="preserve">Opatrenie 2.1.2 (€) </w:t>
            </w:r>
          </w:p>
        </w:tc>
        <w:tc>
          <w:tcPr>
            <w:tcW w:w="2266" w:type="dxa"/>
            <w:tcBorders>
              <w:top w:val="single" w:sz="4" w:space="0" w:color="000000"/>
              <w:left w:val="single" w:sz="4" w:space="0" w:color="000000"/>
              <w:bottom w:val="single" w:sz="4" w:space="0" w:color="000000"/>
              <w:right w:val="single" w:sz="4" w:space="0" w:color="000000"/>
            </w:tcBorders>
            <w:shd w:val="clear" w:color="auto" w:fill="F2F2F2"/>
          </w:tcPr>
          <w:p w:rsidR="008733D5" w:rsidRPr="003B2B99" w:rsidRDefault="002C6609">
            <w:pPr>
              <w:spacing w:after="0"/>
              <w:ind w:left="112" w:right="113" w:firstLine="0"/>
              <w:jc w:val="center"/>
              <w:rPr>
                <w:sz w:val="22"/>
                <w:lang w:val="sk-SK"/>
              </w:rPr>
            </w:pPr>
            <w:r w:rsidRPr="003B2B99">
              <w:rPr>
                <w:b/>
                <w:sz w:val="22"/>
                <w:lang w:val="sk-SK"/>
              </w:rPr>
              <w:t xml:space="preserve">Opatrenie 2.2.2 (€) </w:t>
            </w:r>
          </w:p>
        </w:tc>
        <w:tc>
          <w:tcPr>
            <w:tcW w:w="2265" w:type="dxa"/>
            <w:tcBorders>
              <w:top w:val="single" w:sz="4" w:space="0" w:color="000000"/>
              <w:left w:val="single" w:sz="4" w:space="0" w:color="000000"/>
              <w:bottom w:val="single" w:sz="4" w:space="0" w:color="000000"/>
              <w:right w:val="single" w:sz="4" w:space="0" w:color="000000"/>
            </w:tcBorders>
            <w:shd w:val="clear" w:color="auto" w:fill="F2F2F2"/>
          </w:tcPr>
          <w:p w:rsidR="008733D5" w:rsidRPr="003B2B99" w:rsidRDefault="002C6609">
            <w:pPr>
              <w:spacing w:after="0"/>
              <w:ind w:left="111" w:right="111" w:firstLine="0"/>
              <w:jc w:val="center"/>
              <w:rPr>
                <w:sz w:val="22"/>
                <w:lang w:val="sk-SK"/>
              </w:rPr>
            </w:pPr>
            <w:r w:rsidRPr="003B2B99">
              <w:rPr>
                <w:b/>
                <w:sz w:val="22"/>
                <w:lang w:val="sk-SK"/>
              </w:rPr>
              <w:t xml:space="preserve">Opatrenie 5.1.4 (€) </w:t>
            </w:r>
          </w:p>
        </w:tc>
      </w:tr>
      <w:tr w:rsidR="008733D5" w:rsidRPr="003B2B99">
        <w:trPr>
          <w:trHeight w:val="302"/>
        </w:trPr>
        <w:tc>
          <w:tcPr>
            <w:tcW w:w="2263" w:type="dxa"/>
            <w:tcBorders>
              <w:top w:val="single" w:sz="4" w:space="0" w:color="000000"/>
              <w:left w:val="single" w:sz="4" w:space="0" w:color="000000"/>
              <w:bottom w:val="single" w:sz="4" w:space="0" w:color="000000"/>
              <w:right w:val="single" w:sz="4" w:space="0" w:color="000000"/>
            </w:tcBorders>
            <w:shd w:val="clear" w:color="auto" w:fill="F2F2F2"/>
          </w:tcPr>
          <w:p w:rsidR="008733D5" w:rsidRPr="003B2B99" w:rsidRDefault="002C6609">
            <w:pPr>
              <w:spacing w:after="0"/>
              <w:ind w:left="0" w:right="0" w:firstLine="0"/>
              <w:jc w:val="left"/>
              <w:rPr>
                <w:sz w:val="22"/>
                <w:lang w:val="sk-SK"/>
              </w:rPr>
            </w:pPr>
            <w:r w:rsidRPr="003B2B99">
              <w:rPr>
                <w:b/>
                <w:sz w:val="22"/>
                <w:lang w:val="sk-SK"/>
              </w:rPr>
              <w:t xml:space="preserve">CPV </w:t>
            </w:r>
          </w:p>
        </w:tc>
        <w:tc>
          <w:tcPr>
            <w:tcW w:w="2266" w:type="dxa"/>
            <w:tcBorders>
              <w:top w:val="single" w:sz="4" w:space="0" w:color="000000"/>
              <w:left w:val="single" w:sz="4" w:space="0" w:color="000000"/>
              <w:bottom w:val="single" w:sz="4" w:space="0" w:color="000000"/>
              <w:right w:val="single" w:sz="4" w:space="0" w:color="000000"/>
            </w:tcBorders>
          </w:tcPr>
          <w:p w:rsidR="008733D5" w:rsidRPr="003B2B99" w:rsidRDefault="002C6609">
            <w:pPr>
              <w:spacing w:after="0"/>
              <w:ind w:left="0" w:right="55" w:firstLine="0"/>
              <w:jc w:val="right"/>
              <w:rPr>
                <w:sz w:val="22"/>
                <w:lang w:val="sk-SK"/>
              </w:rPr>
            </w:pPr>
            <w:r w:rsidRPr="003B2B99">
              <w:rPr>
                <w:sz w:val="22"/>
                <w:lang w:val="sk-SK"/>
              </w:rPr>
              <w:t xml:space="preserve"> 3 002 849, 83 </w:t>
            </w:r>
          </w:p>
        </w:tc>
        <w:tc>
          <w:tcPr>
            <w:tcW w:w="2266" w:type="dxa"/>
            <w:tcBorders>
              <w:top w:val="single" w:sz="4" w:space="0" w:color="000000"/>
              <w:left w:val="single" w:sz="4" w:space="0" w:color="000000"/>
              <w:bottom w:val="single" w:sz="4" w:space="0" w:color="000000"/>
              <w:right w:val="single" w:sz="4" w:space="0" w:color="000000"/>
            </w:tcBorders>
          </w:tcPr>
          <w:p w:rsidR="008733D5" w:rsidRPr="003B2B99" w:rsidRDefault="002C6609">
            <w:pPr>
              <w:spacing w:after="0"/>
              <w:ind w:left="0" w:right="54" w:firstLine="0"/>
              <w:jc w:val="right"/>
              <w:rPr>
                <w:sz w:val="22"/>
                <w:lang w:val="sk-SK"/>
              </w:rPr>
            </w:pPr>
            <w:r w:rsidRPr="003B2B99">
              <w:rPr>
                <w:sz w:val="22"/>
                <w:lang w:val="sk-SK"/>
              </w:rPr>
              <w:t xml:space="preserve">67 242,60 </w:t>
            </w:r>
          </w:p>
        </w:tc>
        <w:tc>
          <w:tcPr>
            <w:tcW w:w="2265" w:type="dxa"/>
            <w:tcBorders>
              <w:top w:val="single" w:sz="4" w:space="0" w:color="000000"/>
              <w:left w:val="single" w:sz="4" w:space="0" w:color="000000"/>
              <w:bottom w:val="single" w:sz="4" w:space="0" w:color="000000"/>
              <w:right w:val="single" w:sz="4" w:space="0" w:color="000000"/>
            </w:tcBorders>
          </w:tcPr>
          <w:p w:rsidR="008733D5" w:rsidRPr="003B2B99" w:rsidRDefault="002C6609">
            <w:pPr>
              <w:spacing w:after="0"/>
              <w:ind w:left="0" w:right="53" w:firstLine="0"/>
              <w:jc w:val="right"/>
              <w:rPr>
                <w:sz w:val="22"/>
                <w:lang w:val="sk-SK"/>
              </w:rPr>
            </w:pPr>
            <w:r w:rsidRPr="003B2B99">
              <w:rPr>
                <w:sz w:val="22"/>
                <w:lang w:val="sk-SK"/>
              </w:rPr>
              <w:t xml:space="preserve">2 174 008,38 </w:t>
            </w:r>
          </w:p>
        </w:tc>
      </w:tr>
      <w:tr w:rsidR="008733D5" w:rsidRPr="003B2B99">
        <w:trPr>
          <w:trHeight w:val="302"/>
        </w:trPr>
        <w:tc>
          <w:tcPr>
            <w:tcW w:w="2263" w:type="dxa"/>
            <w:tcBorders>
              <w:top w:val="single" w:sz="4" w:space="0" w:color="000000"/>
              <w:left w:val="single" w:sz="4" w:space="0" w:color="000000"/>
              <w:bottom w:val="single" w:sz="4" w:space="0" w:color="000000"/>
              <w:right w:val="single" w:sz="4" w:space="0" w:color="000000"/>
            </w:tcBorders>
            <w:shd w:val="clear" w:color="auto" w:fill="F2F2F2"/>
          </w:tcPr>
          <w:p w:rsidR="008733D5" w:rsidRPr="003B2B99" w:rsidRDefault="002C6609">
            <w:pPr>
              <w:spacing w:after="0"/>
              <w:ind w:left="0" w:right="0" w:firstLine="0"/>
              <w:jc w:val="left"/>
              <w:rPr>
                <w:sz w:val="22"/>
                <w:lang w:val="sk-SK"/>
              </w:rPr>
            </w:pPr>
            <w:r w:rsidRPr="003B2B99">
              <w:rPr>
                <w:b/>
                <w:sz w:val="22"/>
                <w:lang w:val="sk-SK"/>
              </w:rPr>
              <w:t xml:space="preserve">COV </w:t>
            </w:r>
          </w:p>
        </w:tc>
        <w:tc>
          <w:tcPr>
            <w:tcW w:w="2266" w:type="dxa"/>
            <w:tcBorders>
              <w:top w:val="single" w:sz="4" w:space="0" w:color="000000"/>
              <w:left w:val="single" w:sz="4" w:space="0" w:color="000000"/>
              <w:bottom w:val="single" w:sz="4" w:space="0" w:color="000000"/>
              <w:right w:val="single" w:sz="4" w:space="0" w:color="000000"/>
            </w:tcBorders>
          </w:tcPr>
          <w:p w:rsidR="008733D5" w:rsidRPr="003B2B99" w:rsidRDefault="002C6609">
            <w:pPr>
              <w:spacing w:after="0"/>
              <w:ind w:left="0" w:right="54" w:firstLine="0"/>
              <w:jc w:val="right"/>
              <w:rPr>
                <w:sz w:val="22"/>
                <w:lang w:val="sk-SK"/>
              </w:rPr>
            </w:pPr>
            <w:r w:rsidRPr="003B2B99">
              <w:rPr>
                <w:sz w:val="22"/>
                <w:lang w:val="sk-SK"/>
              </w:rPr>
              <w:t xml:space="preserve">2 872 748,93 </w:t>
            </w:r>
          </w:p>
        </w:tc>
        <w:tc>
          <w:tcPr>
            <w:tcW w:w="2266" w:type="dxa"/>
            <w:tcBorders>
              <w:top w:val="single" w:sz="4" w:space="0" w:color="000000"/>
              <w:left w:val="single" w:sz="4" w:space="0" w:color="000000"/>
              <w:bottom w:val="single" w:sz="4" w:space="0" w:color="000000"/>
              <w:right w:val="single" w:sz="4" w:space="0" w:color="000000"/>
            </w:tcBorders>
          </w:tcPr>
          <w:p w:rsidR="008733D5" w:rsidRPr="003B2B99" w:rsidRDefault="002C6609">
            <w:pPr>
              <w:spacing w:after="0"/>
              <w:ind w:left="0" w:right="54" w:firstLine="0"/>
              <w:jc w:val="right"/>
              <w:rPr>
                <w:sz w:val="22"/>
                <w:lang w:val="sk-SK"/>
              </w:rPr>
            </w:pPr>
            <w:r w:rsidRPr="003B2B99">
              <w:rPr>
                <w:sz w:val="22"/>
                <w:lang w:val="sk-SK"/>
              </w:rPr>
              <w:t xml:space="preserve">67 242,60 </w:t>
            </w:r>
          </w:p>
        </w:tc>
        <w:tc>
          <w:tcPr>
            <w:tcW w:w="2265" w:type="dxa"/>
            <w:tcBorders>
              <w:top w:val="single" w:sz="4" w:space="0" w:color="000000"/>
              <w:left w:val="single" w:sz="4" w:space="0" w:color="000000"/>
              <w:bottom w:val="single" w:sz="4" w:space="0" w:color="000000"/>
              <w:right w:val="single" w:sz="4" w:space="0" w:color="000000"/>
            </w:tcBorders>
          </w:tcPr>
          <w:p w:rsidR="008733D5" w:rsidRPr="003B2B99" w:rsidRDefault="002C6609">
            <w:pPr>
              <w:spacing w:after="0"/>
              <w:ind w:left="0" w:right="53" w:firstLine="0"/>
              <w:jc w:val="right"/>
              <w:rPr>
                <w:sz w:val="22"/>
                <w:lang w:val="sk-SK"/>
              </w:rPr>
            </w:pPr>
            <w:r w:rsidRPr="003B2B99">
              <w:rPr>
                <w:sz w:val="22"/>
                <w:lang w:val="sk-SK"/>
              </w:rPr>
              <w:t xml:space="preserve">1 876 746,59 </w:t>
            </w:r>
          </w:p>
        </w:tc>
      </w:tr>
      <w:tr w:rsidR="008733D5" w:rsidRPr="003B2B99">
        <w:trPr>
          <w:trHeight w:val="301"/>
        </w:trPr>
        <w:tc>
          <w:tcPr>
            <w:tcW w:w="2263" w:type="dxa"/>
            <w:tcBorders>
              <w:top w:val="single" w:sz="4" w:space="0" w:color="000000"/>
              <w:left w:val="single" w:sz="4" w:space="0" w:color="000000"/>
              <w:bottom w:val="single" w:sz="4" w:space="0" w:color="000000"/>
              <w:right w:val="single" w:sz="4" w:space="0" w:color="000000"/>
            </w:tcBorders>
            <w:shd w:val="clear" w:color="auto" w:fill="F2F2F2"/>
          </w:tcPr>
          <w:p w:rsidR="008733D5" w:rsidRPr="003B2B99" w:rsidRDefault="002C6609">
            <w:pPr>
              <w:spacing w:after="0"/>
              <w:ind w:left="0" w:right="0" w:firstLine="0"/>
              <w:jc w:val="left"/>
              <w:rPr>
                <w:sz w:val="22"/>
                <w:lang w:val="sk-SK"/>
              </w:rPr>
            </w:pPr>
            <w:r w:rsidRPr="003B2B99">
              <w:rPr>
                <w:b/>
                <w:sz w:val="22"/>
                <w:lang w:val="sk-SK"/>
              </w:rPr>
              <w:t xml:space="preserve">Zdroj EÚ (85%) </w:t>
            </w:r>
          </w:p>
        </w:tc>
        <w:tc>
          <w:tcPr>
            <w:tcW w:w="2266" w:type="dxa"/>
            <w:tcBorders>
              <w:top w:val="single" w:sz="4" w:space="0" w:color="000000"/>
              <w:left w:val="single" w:sz="4" w:space="0" w:color="000000"/>
              <w:bottom w:val="single" w:sz="4" w:space="0" w:color="000000"/>
              <w:right w:val="single" w:sz="4" w:space="0" w:color="000000"/>
            </w:tcBorders>
          </w:tcPr>
          <w:p w:rsidR="008733D5" w:rsidRPr="003B2B99" w:rsidRDefault="002C6609">
            <w:pPr>
              <w:spacing w:after="0"/>
              <w:ind w:left="0" w:right="54" w:firstLine="0"/>
              <w:jc w:val="right"/>
              <w:rPr>
                <w:sz w:val="22"/>
                <w:lang w:val="sk-SK"/>
              </w:rPr>
            </w:pPr>
            <w:r w:rsidRPr="003B2B99">
              <w:rPr>
                <w:sz w:val="22"/>
                <w:lang w:val="sk-SK"/>
              </w:rPr>
              <w:t xml:space="preserve">2 441 836,59 </w:t>
            </w:r>
          </w:p>
        </w:tc>
        <w:tc>
          <w:tcPr>
            <w:tcW w:w="2266" w:type="dxa"/>
            <w:tcBorders>
              <w:top w:val="single" w:sz="4" w:space="0" w:color="000000"/>
              <w:left w:val="single" w:sz="4" w:space="0" w:color="000000"/>
              <w:bottom w:val="single" w:sz="4" w:space="0" w:color="000000"/>
              <w:right w:val="single" w:sz="4" w:space="0" w:color="000000"/>
            </w:tcBorders>
          </w:tcPr>
          <w:p w:rsidR="008733D5" w:rsidRPr="003B2B99" w:rsidRDefault="002C6609">
            <w:pPr>
              <w:spacing w:after="0"/>
              <w:ind w:left="0" w:right="54" w:firstLine="0"/>
              <w:jc w:val="right"/>
              <w:rPr>
                <w:sz w:val="22"/>
                <w:lang w:val="sk-SK"/>
              </w:rPr>
            </w:pPr>
            <w:r w:rsidRPr="003B2B99">
              <w:rPr>
                <w:sz w:val="22"/>
                <w:lang w:val="sk-SK"/>
              </w:rPr>
              <w:t xml:space="preserve">57 156,21 </w:t>
            </w:r>
          </w:p>
        </w:tc>
        <w:tc>
          <w:tcPr>
            <w:tcW w:w="2265" w:type="dxa"/>
            <w:tcBorders>
              <w:top w:val="single" w:sz="4" w:space="0" w:color="000000"/>
              <w:left w:val="single" w:sz="4" w:space="0" w:color="000000"/>
              <w:bottom w:val="single" w:sz="4" w:space="0" w:color="000000"/>
              <w:right w:val="single" w:sz="4" w:space="0" w:color="000000"/>
            </w:tcBorders>
          </w:tcPr>
          <w:p w:rsidR="008733D5" w:rsidRPr="003B2B99" w:rsidRDefault="002C6609">
            <w:pPr>
              <w:spacing w:after="0"/>
              <w:ind w:left="0" w:right="53" w:firstLine="0"/>
              <w:jc w:val="right"/>
              <w:rPr>
                <w:sz w:val="22"/>
                <w:lang w:val="sk-SK"/>
              </w:rPr>
            </w:pPr>
            <w:r w:rsidRPr="003B2B99">
              <w:rPr>
                <w:sz w:val="22"/>
                <w:lang w:val="sk-SK"/>
              </w:rPr>
              <w:t xml:space="preserve">1 595 234,60 </w:t>
            </w:r>
          </w:p>
        </w:tc>
      </w:tr>
    </w:tbl>
    <w:p w:rsidR="008733D5" w:rsidRPr="003B2B99" w:rsidRDefault="002C6609">
      <w:pPr>
        <w:spacing w:after="0"/>
        <w:ind w:left="0" w:right="0" w:firstLine="0"/>
        <w:jc w:val="left"/>
        <w:rPr>
          <w:sz w:val="22"/>
          <w:lang w:val="sk-SK"/>
        </w:rPr>
      </w:pPr>
      <w:r w:rsidRPr="003B2B99">
        <w:rPr>
          <w:sz w:val="22"/>
          <w:lang w:val="sk-SK"/>
        </w:rPr>
        <w:t xml:space="preserve"> </w:t>
      </w:r>
    </w:p>
    <w:p w:rsidR="008733D5" w:rsidRPr="003B2B99" w:rsidRDefault="002C6609">
      <w:pPr>
        <w:spacing w:after="76"/>
        <w:ind w:left="-5" w:right="0"/>
        <w:rPr>
          <w:sz w:val="22"/>
          <w:lang w:val="sk-SK"/>
        </w:rPr>
      </w:pPr>
      <w:r w:rsidRPr="003B2B99">
        <w:rPr>
          <w:sz w:val="22"/>
          <w:lang w:val="sk-SK"/>
        </w:rPr>
        <w:t xml:space="preserve">Pre realizáciu projektového zámeru chce žiadateľ požiadať o nenávratný finančný príspevok z Programu Slovensko z finančných prostriedkov prerozdelených medzi integrované územné stratégie. Projektový zámer Rekonštrukcie plavárne v Rimavskej Sobote má byť realizovaný z troch opatrení Programu Slovensku, ku ktorým sú vyhlásené nasledovné výzvy:  </w:t>
      </w:r>
    </w:p>
    <w:p w:rsidR="008733D5" w:rsidRPr="003B2B99" w:rsidRDefault="002C6609">
      <w:pPr>
        <w:numPr>
          <w:ilvl w:val="0"/>
          <w:numId w:val="1"/>
        </w:numPr>
        <w:spacing w:after="16"/>
        <w:ind w:right="0" w:hanging="360"/>
        <w:rPr>
          <w:sz w:val="22"/>
          <w:lang w:val="sk-SK"/>
        </w:rPr>
      </w:pPr>
      <w:r w:rsidRPr="003B2B99">
        <w:rPr>
          <w:sz w:val="22"/>
          <w:lang w:val="sk-SK"/>
        </w:rPr>
        <w:t xml:space="preserve">Opatrenie 2.1.2 Znižovanie energetickej náročnosti budov – Výzva PSK-SIEA-007-2024ITI-EFRR, </w:t>
      </w:r>
    </w:p>
    <w:p w:rsidR="008733D5" w:rsidRPr="003B2B99" w:rsidRDefault="002C6609">
      <w:pPr>
        <w:numPr>
          <w:ilvl w:val="0"/>
          <w:numId w:val="1"/>
        </w:numPr>
        <w:spacing w:after="16"/>
        <w:ind w:right="0" w:hanging="360"/>
        <w:rPr>
          <w:sz w:val="22"/>
          <w:lang w:val="sk-SK"/>
        </w:rPr>
      </w:pPr>
      <w:r w:rsidRPr="003B2B99">
        <w:rPr>
          <w:sz w:val="22"/>
          <w:lang w:val="sk-SK"/>
        </w:rPr>
        <w:lastRenderedPageBreak/>
        <w:t xml:space="preserve">Opatrenie 2.2.2 Podpora využívania OZE v systémoch zásobovania energiou – Výzva PSK-SIEA-007-2024-ITI-EFR, </w:t>
      </w:r>
    </w:p>
    <w:p w:rsidR="008733D5" w:rsidRPr="003B2B99" w:rsidRDefault="002C6609" w:rsidP="003B2B99">
      <w:pPr>
        <w:numPr>
          <w:ilvl w:val="0"/>
          <w:numId w:val="1"/>
        </w:numPr>
        <w:ind w:right="0" w:hanging="360"/>
        <w:rPr>
          <w:sz w:val="22"/>
          <w:lang w:val="sk-SK"/>
        </w:rPr>
      </w:pPr>
      <w:r w:rsidRPr="003B2B99">
        <w:rPr>
          <w:sz w:val="22"/>
          <w:lang w:val="sk-SK"/>
        </w:rPr>
        <w:t xml:space="preserve">Opatrenie 5.1.4 Investície do regionálnej a miestnej infraštruktúry pre pohybové aktivity, cykloturistiku – Výzva PSK-MIRRI-015-2024-ITI-EFRR.  </w:t>
      </w:r>
    </w:p>
    <w:p w:rsidR="008733D5" w:rsidRPr="003B2B99" w:rsidRDefault="002C6609">
      <w:pPr>
        <w:spacing w:after="1"/>
        <w:ind w:left="0" w:right="0" w:firstLine="0"/>
        <w:jc w:val="left"/>
        <w:rPr>
          <w:sz w:val="22"/>
          <w:lang w:val="sk-SK"/>
        </w:rPr>
      </w:pPr>
      <w:r w:rsidRPr="003B2B99">
        <w:rPr>
          <w:sz w:val="22"/>
          <w:lang w:val="sk-SK"/>
        </w:rPr>
        <w:t xml:space="preserve"> </w:t>
      </w:r>
    </w:p>
    <w:p w:rsidR="008733D5" w:rsidRPr="003B2B99" w:rsidRDefault="002C6609">
      <w:pPr>
        <w:ind w:left="-5" w:right="0"/>
        <w:rPr>
          <w:sz w:val="22"/>
          <w:lang w:val="sk-SK"/>
        </w:rPr>
      </w:pPr>
      <w:r w:rsidRPr="003B2B99">
        <w:rPr>
          <w:sz w:val="22"/>
          <w:lang w:val="sk-SK"/>
        </w:rPr>
        <w:t xml:space="preserve">Výška alokácie ( EÚ zdroj) opatrenia 2.1.2 Znižovanie energetickej náročnosti budov (899 803 €) a opatrenia 5.1.4 Investície do regionálnej a miestnej infraštruktúry pre pohybové aktivity, cykloturistiku (468 418 €) prislúchajúcich Kooperačnej rade udržateľného mestského rozvoja Rimavská Sobota nepostačuje na financovanie celkových oprávnených výdavkov projektového zámeru. </w:t>
      </w:r>
    </w:p>
    <w:p w:rsidR="008733D5" w:rsidRPr="003B2B99" w:rsidRDefault="002C6609">
      <w:pPr>
        <w:spacing w:after="1"/>
        <w:ind w:left="-5" w:right="0"/>
        <w:rPr>
          <w:sz w:val="22"/>
          <w:lang w:val="sk-SK"/>
        </w:rPr>
      </w:pPr>
      <w:r w:rsidRPr="003B2B99">
        <w:rPr>
          <w:sz w:val="22"/>
          <w:lang w:val="sk-SK"/>
        </w:rPr>
        <w:t xml:space="preserve">Vzhľadom k tejto skutočnosti ako aj k tomu, že projektový zámer má nadregionálny charakter, teda slúži nielen pre obyvateľov samotného mesta ale aj pre obyvateľov celého územia UMR </w:t>
      </w:r>
    </w:p>
    <w:p w:rsidR="008733D5" w:rsidRPr="003B2B99" w:rsidRDefault="002C6609">
      <w:pPr>
        <w:spacing w:after="1"/>
        <w:ind w:left="-5" w:right="0"/>
        <w:rPr>
          <w:sz w:val="22"/>
          <w:lang w:val="sk-SK"/>
        </w:rPr>
      </w:pPr>
      <w:r w:rsidRPr="003B2B99">
        <w:rPr>
          <w:sz w:val="22"/>
          <w:lang w:val="sk-SK"/>
        </w:rPr>
        <w:t xml:space="preserve">Rimavská Sobota ako aj celého okresu Rimavská Sobota, predseda Kooperačnej rady UMR </w:t>
      </w:r>
    </w:p>
    <w:p w:rsidR="008733D5" w:rsidRPr="00FF1E73" w:rsidRDefault="002C6609">
      <w:pPr>
        <w:ind w:left="-5" w:right="0"/>
        <w:rPr>
          <w:b/>
          <w:sz w:val="22"/>
          <w:lang w:val="sk-SK"/>
        </w:rPr>
      </w:pPr>
      <w:r w:rsidRPr="003B2B99">
        <w:rPr>
          <w:sz w:val="22"/>
          <w:lang w:val="sk-SK"/>
        </w:rPr>
        <w:t xml:space="preserve">Rimavská Sobota požiadal Radu partnerstva BBSK o presun finančných prostriedkov z alokácií Banskobystrického samosprávneho kraja. Po rokovaní s BBSK došlo k dohode </w:t>
      </w:r>
      <w:r w:rsidRPr="00FF1E73">
        <w:rPr>
          <w:b/>
          <w:sz w:val="22"/>
          <w:lang w:val="sk-SK"/>
        </w:rPr>
        <w:t xml:space="preserve">o transfere alokácie z opatrenia 2.1.2 vo výške 1 542 033,59 € do opatrenia 2.1.2 alokácie Kooperačnej rady UMR Rimavská Sobota, a o transfere alokácie z opatrenia 5.2.4 vo výške 1 126 816,60 € do opatrenia 5.1.4 Kooperačnej rady UMR Rimavská Sobota. Rada partnerstva BBSK schválila uznesením č.2/2025 transfery pre Kooperačnú radu UMR Rimavská Sobota hlasovaním per </w:t>
      </w:r>
      <w:proofErr w:type="spellStart"/>
      <w:r w:rsidRPr="00FF1E73">
        <w:rPr>
          <w:b/>
          <w:sz w:val="22"/>
          <w:lang w:val="sk-SK"/>
        </w:rPr>
        <w:t>rollam</w:t>
      </w:r>
      <w:proofErr w:type="spellEnd"/>
      <w:r w:rsidRPr="00FF1E73">
        <w:rPr>
          <w:b/>
          <w:sz w:val="22"/>
          <w:lang w:val="sk-SK"/>
        </w:rPr>
        <w:t xml:space="preserve"> (30.12.2024 – 15.01.2025).  </w:t>
      </w:r>
    </w:p>
    <w:p w:rsidR="008733D5" w:rsidRPr="003B2B99" w:rsidRDefault="002C6609">
      <w:pPr>
        <w:ind w:left="-5" w:right="0"/>
        <w:rPr>
          <w:sz w:val="22"/>
          <w:lang w:val="sk-SK"/>
        </w:rPr>
      </w:pPr>
      <w:r w:rsidRPr="003B2B99">
        <w:rPr>
          <w:sz w:val="22"/>
          <w:lang w:val="sk-SK"/>
        </w:rPr>
        <w:t xml:space="preserve">Zároveň bol transfer </w:t>
      </w:r>
      <w:r w:rsidRPr="00FF1E73">
        <w:rPr>
          <w:b/>
          <w:sz w:val="22"/>
          <w:lang w:val="sk-SK"/>
        </w:rPr>
        <w:t xml:space="preserve">schválený aj v Kooperačnej rade udržateľného mestského rozvoja Rimavská Sobota hlasovaním per </w:t>
      </w:r>
      <w:proofErr w:type="spellStart"/>
      <w:r w:rsidRPr="00FF1E73">
        <w:rPr>
          <w:b/>
          <w:sz w:val="22"/>
          <w:lang w:val="sk-SK"/>
        </w:rPr>
        <w:t>rollam</w:t>
      </w:r>
      <w:proofErr w:type="spellEnd"/>
      <w:r w:rsidRPr="00FF1E73">
        <w:rPr>
          <w:b/>
          <w:sz w:val="22"/>
          <w:lang w:val="sk-SK"/>
        </w:rPr>
        <w:t>, uznesením č. 1/2025 (16.01.2025 – 30.01.2025).</w:t>
      </w:r>
      <w:r w:rsidRPr="003B2B99">
        <w:rPr>
          <w:sz w:val="22"/>
          <w:lang w:val="sk-SK"/>
        </w:rPr>
        <w:t xml:space="preserve"> </w:t>
      </w:r>
    </w:p>
    <w:p w:rsidR="008733D5" w:rsidRPr="003B2B99" w:rsidRDefault="002C6609">
      <w:pPr>
        <w:ind w:left="-5" w:right="0"/>
        <w:rPr>
          <w:sz w:val="22"/>
          <w:lang w:val="sk-SK"/>
        </w:rPr>
      </w:pPr>
      <w:r w:rsidRPr="003B2B99">
        <w:rPr>
          <w:sz w:val="22"/>
          <w:lang w:val="sk-SK"/>
        </w:rPr>
        <w:t xml:space="preserve">Transferom z alokácie Banskobystrického  samosprávneho kraja navýšená alokácia opatrenia 2.1.2 a opatrenia 5.1.4 pre územie UMR Rimavská Sobota zabezpečí financovanie projektového zámeru Rekonštrukcie plavárne v Rimavskej Sobote. Časť prostriedkov potrebných na dofinancovanie realizácie projektového zámeru zabezpečí mesto Rimavská Sobota z vlastných zdrojov. </w:t>
      </w:r>
    </w:p>
    <w:p w:rsidR="008733D5" w:rsidRPr="003B2B99" w:rsidRDefault="002C6609">
      <w:pPr>
        <w:ind w:left="-5" w:right="0"/>
        <w:rPr>
          <w:sz w:val="22"/>
          <w:lang w:val="sk-SK"/>
        </w:rPr>
      </w:pPr>
      <w:r w:rsidRPr="003B2B99">
        <w:rPr>
          <w:sz w:val="22"/>
          <w:lang w:val="sk-SK"/>
        </w:rPr>
        <w:t xml:space="preserve">Projektový zámer integrovanej územnej investície Rekonštrukcie plavárne v Rimavskej Sobote bude schvaľovaný Kooperačnou radou udržateľného mestského rozvoja Rimavská Sobota formou hlasovania per </w:t>
      </w:r>
      <w:proofErr w:type="spellStart"/>
      <w:r w:rsidRPr="003B2B99">
        <w:rPr>
          <w:sz w:val="22"/>
          <w:lang w:val="sk-SK"/>
        </w:rPr>
        <w:t>rollam</w:t>
      </w:r>
      <w:proofErr w:type="spellEnd"/>
      <w:r w:rsidRPr="003B2B99">
        <w:rPr>
          <w:sz w:val="22"/>
          <w:lang w:val="sk-SK"/>
        </w:rPr>
        <w:t xml:space="preserve"> v priebehu mesiaca február.  </w:t>
      </w:r>
    </w:p>
    <w:p w:rsidR="008733D5" w:rsidRPr="003B2B99" w:rsidRDefault="002C6609">
      <w:pPr>
        <w:spacing w:after="241"/>
        <w:ind w:left="-5" w:right="0"/>
        <w:rPr>
          <w:sz w:val="22"/>
          <w:lang w:val="sk-SK"/>
        </w:rPr>
      </w:pPr>
      <w:r w:rsidRPr="003B2B99">
        <w:rPr>
          <w:sz w:val="22"/>
          <w:lang w:val="sk-SK"/>
        </w:rPr>
        <w:t xml:space="preserve">Po schválení projektového zámeru Kooperačnou radou UMR Rimavská Sobota a transferov Monitorovacím výborom pre Program Slovensko sa vytvoria podmienky pre financovanie projektového zámeru Rekonštrukcie plavárne v Rimavskej Sobote. </w:t>
      </w:r>
    </w:p>
    <w:p w:rsidR="008733D5" w:rsidRPr="003B2B99" w:rsidRDefault="002C6609">
      <w:pPr>
        <w:spacing w:after="241"/>
        <w:ind w:left="-5" w:right="1603"/>
        <w:rPr>
          <w:sz w:val="22"/>
          <w:lang w:val="sk-SK"/>
        </w:rPr>
      </w:pPr>
      <w:r w:rsidRPr="003B2B99">
        <w:rPr>
          <w:sz w:val="22"/>
          <w:lang w:val="sk-SK"/>
        </w:rPr>
        <w:t xml:space="preserve">Vypracoval: Ing. Rebeka </w:t>
      </w:r>
      <w:proofErr w:type="spellStart"/>
      <w:r w:rsidRPr="003B2B99">
        <w:rPr>
          <w:sz w:val="22"/>
          <w:lang w:val="sk-SK"/>
        </w:rPr>
        <w:t>Uhrinová</w:t>
      </w:r>
      <w:proofErr w:type="spellEnd"/>
      <w:r w:rsidRPr="003B2B99">
        <w:rPr>
          <w:sz w:val="22"/>
          <w:lang w:val="sk-SK"/>
        </w:rPr>
        <w:t xml:space="preserve">, administratívne kapacity UMR RS Schválil: Ing. Peter Slovák, PhD., koordinátor KR UMR RS </w:t>
      </w:r>
    </w:p>
    <w:p w:rsidR="008733D5" w:rsidRPr="003B2B99" w:rsidRDefault="002C6609">
      <w:pPr>
        <w:spacing w:after="841"/>
        <w:ind w:left="0" w:right="0" w:firstLine="0"/>
        <w:jc w:val="left"/>
        <w:rPr>
          <w:sz w:val="22"/>
          <w:lang w:val="sk-SK"/>
        </w:rPr>
      </w:pPr>
      <w:r w:rsidRPr="003B2B99">
        <w:rPr>
          <w:sz w:val="22"/>
          <w:lang w:val="sk-SK"/>
        </w:rPr>
        <w:t xml:space="preserve">V Rimavskej Sobote, 30.01.2025 </w:t>
      </w:r>
    </w:p>
    <w:p w:rsidR="008733D5" w:rsidRPr="003B2B99" w:rsidRDefault="002C6609">
      <w:pPr>
        <w:spacing w:after="1"/>
        <w:ind w:left="-5" w:right="0"/>
        <w:rPr>
          <w:sz w:val="22"/>
          <w:lang w:val="sk-SK"/>
        </w:rPr>
      </w:pPr>
      <w:r w:rsidRPr="003B2B99">
        <w:rPr>
          <w:sz w:val="22"/>
          <w:lang w:val="sk-SK"/>
        </w:rPr>
        <w:t xml:space="preserve">Prílohy: </w:t>
      </w:r>
    </w:p>
    <w:p w:rsidR="008733D5" w:rsidRPr="003B2B99" w:rsidRDefault="002C6609">
      <w:pPr>
        <w:numPr>
          <w:ilvl w:val="0"/>
          <w:numId w:val="2"/>
        </w:numPr>
        <w:spacing w:after="1"/>
        <w:ind w:right="0" w:hanging="360"/>
        <w:rPr>
          <w:sz w:val="22"/>
          <w:lang w:val="sk-SK"/>
        </w:rPr>
      </w:pPr>
      <w:r w:rsidRPr="003B2B99">
        <w:rPr>
          <w:sz w:val="22"/>
          <w:lang w:val="sk-SK"/>
        </w:rPr>
        <w:t xml:space="preserve">Uznesenie RP BBSK č.2/2025 </w:t>
      </w:r>
    </w:p>
    <w:p w:rsidR="008733D5" w:rsidRPr="003B2B99" w:rsidRDefault="002C6609">
      <w:pPr>
        <w:numPr>
          <w:ilvl w:val="0"/>
          <w:numId w:val="2"/>
        </w:numPr>
        <w:ind w:right="0" w:hanging="360"/>
        <w:rPr>
          <w:sz w:val="22"/>
          <w:lang w:val="sk-SK"/>
        </w:rPr>
      </w:pPr>
      <w:r w:rsidRPr="003B2B99">
        <w:rPr>
          <w:sz w:val="22"/>
          <w:lang w:val="sk-SK"/>
        </w:rPr>
        <w:t xml:space="preserve">Uznesenie KR UMR Rimavská Sobota č.1/2025 </w:t>
      </w:r>
    </w:p>
    <w:sectPr w:rsidR="008733D5" w:rsidRPr="003B2B99">
      <w:headerReference w:type="default" r:id="rId7"/>
      <w:pgSz w:w="11906" w:h="16838"/>
      <w:pgMar w:top="764" w:right="1412" w:bottom="1534" w:left="141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2B99" w:rsidRDefault="003B2B99" w:rsidP="003B2B99">
      <w:pPr>
        <w:spacing w:after="0" w:line="240" w:lineRule="auto"/>
      </w:pPr>
      <w:r>
        <w:separator/>
      </w:r>
    </w:p>
  </w:endnote>
  <w:endnote w:type="continuationSeparator" w:id="0">
    <w:p w:rsidR="003B2B99" w:rsidRDefault="003B2B99" w:rsidP="003B2B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2B99" w:rsidRDefault="003B2B99" w:rsidP="003B2B99">
      <w:pPr>
        <w:spacing w:after="0" w:line="240" w:lineRule="auto"/>
      </w:pPr>
      <w:r>
        <w:separator/>
      </w:r>
    </w:p>
  </w:footnote>
  <w:footnote w:type="continuationSeparator" w:id="0">
    <w:p w:rsidR="003B2B99" w:rsidRDefault="003B2B99" w:rsidP="003B2B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B99" w:rsidRDefault="003B2B99">
    <w:pPr>
      <w:pStyle w:val="Hlavika"/>
    </w:pPr>
    <w:r>
      <w:rPr>
        <w:noProof/>
      </w:rPr>
      <w:drawing>
        <wp:anchor distT="0" distB="0" distL="114300" distR="114300" simplePos="0" relativeHeight="251659264" behindDoc="0" locked="0" layoutInCell="1" allowOverlap="1" wp14:anchorId="5C1544BF" wp14:editId="36FB3565">
          <wp:simplePos x="0" y="0"/>
          <wp:positionH relativeFrom="margin">
            <wp:align>center</wp:align>
          </wp:positionH>
          <wp:positionV relativeFrom="topMargin">
            <wp:posOffset>99391</wp:posOffset>
          </wp:positionV>
          <wp:extent cx="4919514" cy="720000"/>
          <wp:effectExtent l="0" t="0" r="0" b="4445"/>
          <wp:wrapSquare wrapText="bothSides"/>
          <wp:docPr id="6" name="Obrázok 6" descr="C:\Users\revakova\AppData\Local\Microsoft\Windows\INetCache\Content.Outlook\N7OXBTA1\EU_Program-Slovensko_MIRRISR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vakova\AppData\Local\Microsoft\Windows\INetCache\Content.Outlook\N7OXBTA1\EU_Program-Slovensko_MIRRISR_CMY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919514" cy="720000"/>
                  </a:xfrm>
                  <a:prstGeom prst="rect">
                    <a:avLst/>
                  </a:prstGeom>
                  <a:noFill/>
                  <a:ln>
                    <a:noFill/>
                  </a:ln>
                </pic:spPr>
              </pic:pic>
            </a:graphicData>
          </a:graphic>
        </wp:anchor>
      </w:drawing>
    </w:r>
  </w:p>
  <w:p w:rsidR="003B2B99" w:rsidRDefault="003B2B9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26D7A"/>
    <w:multiLevelType w:val="hybridMultilevel"/>
    <w:tmpl w:val="4C8E5D5E"/>
    <w:lvl w:ilvl="0" w:tplc="6A9ED084">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188DD9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806E65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3D86E9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516029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AD694A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E24B66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26EE12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760088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271239B"/>
    <w:multiLevelType w:val="hybridMultilevel"/>
    <w:tmpl w:val="6BFAECEC"/>
    <w:lvl w:ilvl="0" w:tplc="A6082778">
      <w:start w:val="1"/>
      <w:numFmt w:val="bullet"/>
      <w:lvlText w:val=""/>
      <w:lvlJc w:val="left"/>
      <w:pPr>
        <w:tabs>
          <w:tab w:val="num" w:pos="720"/>
        </w:tabs>
        <w:ind w:left="720" w:hanging="360"/>
      </w:pPr>
      <w:rPr>
        <w:rFonts w:ascii="Wingdings" w:hAnsi="Wingdings" w:hint="default"/>
      </w:rPr>
    </w:lvl>
    <w:lvl w:ilvl="1" w:tplc="8702FDB4" w:tentative="1">
      <w:start w:val="1"/>
      <w:numFmt w:val="bullet"/>
      <w:lvlText w:val=""/>
      <w:lvlJc w:val="left"/>
      <w:pPr>
        <w:tabs>
          <w:tab w:val="num" w:pos="1440"/>
        </w:tabs>
        <w:ind w:left="1440" w:hanging="360"/>
      </w:pPr>
      <w:rPr>
        <w:rFonts w:ascii="Wingdings" w:hAnsi="Wingdings" w:hint="default"/>
      </w:rPr>
    </w:lvl>
    <w:lvl w:ilvl="2" w:tplc="76E4643E" w:tentative="1">
      <w:start w:val="1"/>
      <w:numFmt w:val="bullet"/>
      <w:lvlText w:val=""/>
      <w:lvlJc w:val="left"/>
      <w:pPr>
        <w:tabs>
          <w:tab w:val="num" w:pos="2160"/>
        </w:tabs>
        <w:ind w:left="2160" w:hanging="360"/>
      </w:pPr>
      <w:rPr>
        <w:rFonts w:ascii="Wingdings" w:hAnsi="Wingdings" w:hint="default"/>
      </w:rPr>
    </w:lvl>
    <w:lvl w:ilvl="3" w:tplc="F6EA1740" w:tentative="1">
      <w:start w:val="1"/>
      <w:numFmt w:val="bullet"/>
      <w:lvlText w:val=""/>
      <w:lvlJc w:val="left"/>
      <w:pPr>
        <w:tabs>
          <w:tab w:val="num" w:pos="2880"/>
        </w:tabs>
        <w:ind w:left="2880" w:hanging="360"/>
      </w:pPr>
      <w:rPr>
        <w:rFonts w:ascii="Wingdings" w:hAnsi="Wingdings" w:hint="default"/>
      </w:rPr>
    </w:lvl>
    <w:lvl w:ilvl="4" w:tplc="3D94E0CA" w:tentative="1">
      <w:start w:val="1"/>
      <w:numFmt w:val="bullet"/>
      <w:lvlText w:val=""/>
      <w:lvlJc w:val="left"/>
      <w:pPr>
        <w:tabs>
          <w:tab w:val="num" w:pos="3600"/>
        </w:tabs>
        <w:ind w:left="3600" w:hanging="360"/>
      </w:pPr>
      <w:rPr>
        <w:rFonts w:ascii="Wingdings" w:hAnsi="Wingdings" w:hint="default"/>
      </w:rPr>
    </w:lvl>
    <w:lvl w:ilvl="5" w:tplc="4A642F60" w:tentative="1">
      <w:start w:val="1"/>
      <w:numFmt w:val="bullet"/>
      <w:lvlText w:val=""/>
      <w:lvlJc w:val="left"/>
      <w:pPr>
        <w:tabs>
          <w:tab w:val="num" w:pos="4320"/>
        </w:tabs>
        <w:ind w:left="4320" w:hanging="360"/>
      </w:pPr>
      <w:rPr>
        <w:rFonts w:ascii="Wingdings" w:hAnsi="Wingdings" w:hint="default"/>
      </w:rPr>
    </w:lvl>
    <w:lvl w:ilvl="6" w:tplc="E79C0CE6" w:tentative="1">
      <w:start w:val="1"/>
      <w:numFmt w:val="bullet"/>
      <w:lvlText w:val=""/>
      <w:lvlJc w:val="left"/>
      <w:pPr>
        <w:tabs>
          <w:tab w:val="num" w:pos="5040"/>
        </w:tabs>
        <w:ind w:left="5040" w:hanging="360"/>
      </w:pPr>
      <w:rPr>
        <w:rFonts w:ascii="Wingdings" w:hAnsi="Wingdings" w:hint="default"/>
      </w:rPr>
    </w:lvl>
    <w:lvl w:ilvl="7" w:tplc="1040ABF0" w:tentative="1">
      <w:start w:val="1"/>
      <w:numFmt w:val="bullet"/>
      <w:lvlText w:val=""/>
      <w:lvlJc w:val="left"/>
      <w:pPr>
        <w:tabs>
          <w:tab w:val="num" w:pos="5760"/>
        </w:tabs>
        <w:ind w:left="5760" w:hanging="360"/>
      </w:pPr>
      <w:rPr>
        <w:rFonts w:ascii="Wingdings" w:hAnsi="Wingdings" w:hint="default"/>
      </w:rPr>
    </w:lvl>
    <w:lvl w:ilvl="8" w:tplc="AF9A425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391DCD"/>
    <w:multiLevelType w:val="hybridMultilevel"/>
    <w:tmpl w:val="DB1655C2"/>
    <w:lvl w:ilvl="0" w:tplc="78B678BA">
      <w:start w:val="1"/>
      <w:numFmt w:val="decimal"/>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3AAB32C">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9C4540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F846D5E">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FAE785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22C6560">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61C2808">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8BA4A84">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75EE7A0">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3D5"/>
    <w:rsid w:val="002C6609"/>
    <w:rsid w:val="003B2B99"/>
    <w:rsid w:val="008733D5"/>
    <w:rsid w:val="00FF1E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C2DA5"/>
  <w15:docId w15:val="{778BCBC9-036C-48FA-AFA7-F63450C9D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20"/>
      <w:ind w:left="10" w:right="2" w:hanging="10"/>
      <w:jc w:val="both"/>
    </w:pPr>
    <w:rPr>
      <w:rFonts w:ascii="Calibri" w:eastAsia="Calibri" w:hAnsi="Calibri" w:cs="Calibri"/>
      <w:color w:val="000000"/>
      <w:sz w:val="24"/>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lavika">
    <w:name w:val="header"/>
    <w:basedOn w:val="Normlny"/>
    <w:link w:val="HlavikaChar"/>
    <w:uiPriority w:val="99"/>
    <w:unhideWhenUsed/>
    <w:rsid w:val="003B2B9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B2B99"/>
    <w:rPr>
      <w:rFonts w:ascii="Calibri" w:eastAsia="Calibri" w:hAnsi="Calibri" w:cs="Calibri"/>
      <w:color w:val="000000"/>
      <w:sz w:val="24"/>
    </w:rPr>
  </w:style>
  <w:style w:type="paragraph" w:styleId="Pta">
    <w:name w:val="footer"/>
    <w:basedOn w:val="Normlny"/>
    <w:link w:val="PtaChar"/>
    <w:uiPriority w:val="99"/>
    <w:unhideWhenUsed/>
    <w:rsid w:val="003B2B99"/>
    <w:pPr>
      <w:tabs>
        <w:tab w:val="center" w:pos="4536"/>
        <w:tab w:val="right" w:pos="9072"/>
      </w:tabs>
      <w:spacing w:after="0" w:line="240" w:lineRule="auto"/>
    </w:pPr>
  </w:style>
  <w:style w:type="character" w:customStyle="1" w:styleId="PtaChar">
    <w:name w:val="Päta Char"/>
    <w:basedOn w:val="Predvolenpsmoodseku"/>
    <w:link w:val="Pta"/>
    <w:uiPriority w:val="99"/>
    <w:rsid w:val="003B2B99"/>
    <w:rPr>
      <w:rFonts w:ascii="Calibri" w:eastAsia="Calibri" w:hAnsi="Calibri" w:cs="Calibri"/>
      <w:color w:val="000000"/>
      <w:sz w:val="24"/>
    </w:rPr>
  </w:style>
  <w:style w:type="character" w:styleId="Siln">
    <w:name w:val="Strong"/>
    <w:basedOn w:val="Predvolenpsmoodseku"/>
    <w:uiPriority w:val="22"/>
    <w:qFormat/>
    <w:rsid w:val="003B2B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000672">
      <w:bodyDiv w:val="1"/>
      <w:marLeft w:val="0"/>
      <w:marRight w:val="0"/>
      <w:marTop w:val="0"/>
      <w:marBottom w:val="0"/>
      <w:divBdr>
        <w:top w:val="none" w:sz="0" w:space="0" w:color="auto"/>
        <w:left w:val="none" w:sz="0" w:space="0" w:color="auto"/>
        <w:bottom w:val="none" w:sz="0" w:space="0" w:color="auto"/>
        <w:right w:val="none" w:sz="0" w:space="0" w:color="auto"/>
      </w:divBdr>
      <w:divsChild>
        <w:div w:id="1900435793">
          <w:marLeft w:val="446"/>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824</Words>
  <Characters>4697</Characters>
  <Application>Microsoft Office Word</Application>
  <DocSecurity>0</DocSecurity>
  <Lines>39</Lines>
  <Paragraphs>11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Rebeka Uhrinová</dc:creator>
  <cp:keywords/>
  <cp:lastModifiedBy>Dobroň, Michal</cp:lastModifiedBy>
  <cp:revision>3</cp:revision>
  <dcterms:created xsi:type="dcterms:W3CDTF">2025-02-04T08:41:00Z</dcterms:created>
  <dcterms:modified xsi:type="dcterms:W3CDTF">2025-02-04T10:34:00Z</dcterms:modified>
</cp:coreProperties>
</file>