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2B1D9" w14:textId="412C50ED" w:rsidR="00C14AB7" w:rsidRDefault="00C14AB7" w:rsidP="00C14AB7">
      <w:pPr>
        <w:spacing w:after="0"/>
        <w:ind w:left="175"/>
        <w:jc w:val="center"/>
        <w:rPr>
          <w:b/>
          <w:sz w:val="40"/>
        </w:rPr>
      </w:pPr>
      <w:r>
        <w:rPr>
          <w:b/>
          <w:sz w:val="40"/>
        </w:rPr>
        <w:t>Zámer výzvy</w:t>
      </w:r>
    </w:p>
    <w:p w14:paraId="4C974E24" w14:textId="0D5985F1" w:rsidR="007C0FBF" w:rsidRDefault="007C0FBF" w:rsidP="00C14AB7">
      <w:pPr>
        <w:spacing w:after="0"/>
        <w:ind w:left="175"/>
        <w:jc w:val="center"/>
      </w:pPr>
      <w:bookmarkStart w:id="0" w:name="_Hlk189553978"/>
      <w:r>
        <w:rPr>
          <w:b/>
          <w:sz w:val="40"/>
        </w:rPr>
        <w:t>Upozor</w:t>
      </w:r>
      <w:r w:rsidR="00A051ED">
        <w:rPr>
          <w:b/>
          <w:sz w:val="40"/>
        </w:rPr>
        <w:t>nenie</w:t>
      </w:r>
      <w:r>
        <w:rPr>
          <w:b/>
          <w:sz w:val="40"/>
        </w:rPr>
        <w:t>: Nejde o finálny text samotnej výzvy, ale iba o zámer, ktorý má dať predstavu o tom, čo sa bude v rámci tejto oblasti hodnotiť. Tento dokument nie je predmetom pripomienkového konania a schvaľovania zo strany Komisie pre Cieľ 1 a Monitorovacieho výboru PSK – má pre členov Komisie a MV informatívny charakter</w:t>
      </w:r>
    </w:p>
    <w:bookmarkEnd w:id="0"/>
    <w:p w14:paraId="29A15AA1" w14:textId="77777777" w:rsidR="003D1E89" w:rsidRDefault="007A76CF">
      <w:pPr>
        <w:spacing w:after="57"/>
        <w:ind w:left="222"/>
        <w:jc w:val="center"/>
      </w:pPr>
      <w:r>
        <w:t xml:space="preserve"> </w:t>
      </w:r>
    </w:p>
    <w:p w14:paraId="2E1EA356" w14:textId="77777777" w:rsidR="003D1E89" w:rsidRDefault="007A76CF">
      <w:pPr>
        <w:spacing w:after="0" w:line="258" w:lineRule="auto"/>
        <w:ind w:left="1201" w:right="945" w:hanging="10"/>
        <w:jc w:val="center"/>
      </w:pPr>
      <w:r>
        <w:rPr>
          <w:sz w:val="28"/>
        </w:rPr>
        <w:t xml:space="preserve">Poskytovateľ Ministerstvo zdravotníctva Slovenskej republiky  ako sprostredkovateľský orgán pre Program Slovensko 2021-2027 </w:t>
      </w:r>
    </w:p>
    <w:p w14:paraId="20DEA0E9" w14:textId="6EFE4CCB" w:rsidR="003D1E89" w:rsidRDefault="003D1E89">
      <w:pPr>
        <w:spacing w:after="0"/>
        <w:ind w:left="222"/>
        <w:jc w:val="center"/>
      </w:pPr>
    </w:p>
    <w:tbl>
      <w:tblPr>
        <w:tblStyle w:val="TableGrid"/>
        <w:tblW w:w="9782" w:type="dxa"/>
        <w:tblInd w:w="-107" w:type="dxa"/>
        <w:tblCellMar>
          <w:top w:w="46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6380"/>
      </w:tblGrid>
      <w:tr w:rsidR="003D1E89" w:rsidRPr="001F7F42" w14:paraId="1B77D200" w14:textId="77777777">
        <w:trPr>
          <w:trHeight w:val="313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7CFD700" w14:textId="7BBF04D5" w:rsidR="003D1E89" w:rsidRPr="00747EEB" w:rsidRDefault="007A76CF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21F7A">
              <w:rPr>
                <w:rFonts w:asciiTheme="minorHAnsi" w:hAnsiTheme="minorHAnsi" w:cstheme="minorHAnsi"/>
                <w:b/>
                <w:szCs w:val="20"/>
              </w:rPr>
              <w:t>Identifikácia výzvy</w:t>
            </w:r>
            <w:r w:rsidRPr="00221F7A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="00022239" w:rsidRPr="001F7F42" w14:paraId="7A644D82" w14:textId="77777777" w:rsidTr="001F7F42">
        <w:trPr>
          <w:trHeight w:val="37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EC009EA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Názov výzvy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2D87" w14:textId="7D24B3EE" w:rsidR="00022239" w:rsidRPr="00747EEB" w:rsidRDefault="00360B48" w:rsidP="0073283E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70761547"/>
            <w:r w:rsidRPr="00360B48">
              <w:rPr>
                <w:rFonts w:asciiTheme="minorHAnsi" w:hAnsiTheme="minorHAnsi" w:cstheme="minorHAnsi"/>
                <w:sz w:val="20"/>
                <w:szCs w:val="20"/>
              </w:rPr>
              <w:t>Dobudovanie výskumných infraštruktúr pre riešenie celospoločenských výziev a mimoriadnych situácií (</w:t>
            </w:r>
            <w:proofErr w:type="spellStart"/>
            <w:r w:rsidR="0073283E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360B48">
              <w:rPr>
                <w:rFonts w:asciiTheme="minorHAnsi" w:hAnsiTheme="minorHAnsi" w:cstheme="minorHAnsi"/>
                <w:sz w:val="20"/>
                <w:szCs w:val="20"/>
              </w:rPr>
              <w:t>iobanková</w:t>
            </w:r>
            <w:proofErr w:type="spellEnd"/>
            <w:r w:rsidRPr="00360B48">
              <w:rPr>
                <w:rFonts w:asciiTheme="minorHAnsi" w:hAnsiTheme="minorHAnsi" w:cstheme="minorHAnsi"/>
                <w:sz w:val="20"/>
                <w:szCs w:val="20"/>
              </w:rPr>
              <w:t xml:space="preserve"> infraštruktúra)</w:t>
            </w:r>
            <w:bookmarkEnd w:id="1"/>
          </w:p>
        </w:tc>
      </w:tr>
      <w:tr w:rsidR="00022239" w:rsidRPr="001F7F42" w14:paraId="4880593C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4FE80A4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Kód výzvy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FCB3" w14:textId="68B6F793" w:rsidR="00022239" w:rsidRPr="00747EEB" w:rsidRDefault="000E4C35" w:rsidP="00022239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PSK-MZ-</w:t>
            </w:r>
            <w:r w:rsidR="00360B48">
              <w:rPr>
                <w:rFonts w:asciiTheme="minorHAnsi" w:hAnsiTheme="minorHAnsi" w:cstheme="minorHAnsi"/>
                <w:sz w:val="20"/>
                <w:szCs w:val="20"/>
              </w:rPr>
              <w:t>XXX</w:t>
            </w:r>
            <w:r w:rsidR="00022239" w:rsidRPr="00747EEB">
              <w:rPr>
                <w:rFonts w:asciiTheme="minorHAnsi" w:hAnsiTheme="minorHAnsi" w:cstheme="minorHAnsi"/>
                <w:sz w:val="20"/>
                <w:szCs w:val="20"/>
              </w:rPr>
              <w:t>-202</w:t>
            </w:r>
            <w:r w:rsidR="0042637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022239" w:rsidRPr="00747EEB">
              <w:rPr>
                <w:rFonts w:asciiTheme="minorHAnsi" w:hAnsiTheme="minorHAnsi" w:cstheme="minorHAnsi"/>
                <w:sz w:val="20"/>
                <w:szCs w:val="20"/>
              </w:rPr>
              <w:t>-DV-EFRR</w:t>
            </w:r>
          </w:p>
        </w:tc>
      </w:tr>
      <w:tr w:rsidR="00022239" w:rsidRPr="001F7F42" w14:paraId="44DD1F9B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EEC3673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Priorita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C9F2" w14:textId="77777777" w:rsidR="00022239" w:rsidRPr="00747EEB" w:rsidRDefault="00022239" w:rsidP="00022239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1P1 Veda, výskum a inovácie</w:t>
            </w:r>
          </w:p>
        </w:tc>
      </w:tr>
      <w:tr w:rsidR="00022239" w:rsidRPr="001F7F42" w14:paraId="183388EE" w14:textId="77777777" w:rsidTr="001F7F42">
        <w:trPr>
          <w:trHeight w:val="59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2125D37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Špecifický cieľ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F400" w14:textId="77777777" w:rsidR="00022239" w:rsidRPr="00747EEB" w:rsidRDefault="00022239" w:rsidP="00022239">
            <w:pPr>
              <w:ind w:left="2" w:right="51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RSO 1.1 Rozvoj a rozšírenie výskumných a inovačných kapacít a využívania pokročilých technológií</w:t>
            </w:r>
          </w:p>
        </w:tc>
      </w:tr>
      <w:tr w:rsidR="00022239" w:rsidRPr="001F7F42" w14:paraId="3DD206CF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C18DFA4" w14:textId="77777777" w:rsidR="00022239" w:rsidRPr="00747EEB" w:rsidRDefault="00022239" w:rsidP="000222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Opatrenie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4D80" w14:textId="49DA0880" w:rsidR="00022239" w:rsidRPr="00747EEB" w:rsidRDefault="00022239" w:rsidP="00022239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1.1.4 Podpora optimalizácie, rozvoja a modernizácie výskumnej infraštruktúry</w:t>
            </w:r>
          </w:p>
        </w:tc>
      </w:tr>
      <w:tr w:rsidR="00C14AB7" w:rsidRPr="001F7F42" w14:paraId="7A38450D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58A6FCC" w14:textId="46FCE088" w:rsidR="00C14AB7" w:rsidRPr="00747EEB" w:rsidRDefault="00C14AB7" w:rsidP="00C14AB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Relevantná aktivita/aktivity PSK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A67B" w14:textId="77777777" w:rsidR="00C14AB7" w:rsidRDefault="00C14AB7" w:rsidP="00C14AB7">
            <w:pPr>
              <w:pStyle w:val="Odsekzoznamu"/>
              <w:numPr>
                <w:ilvl w:val="0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896563">
              <w:rPr>
                <w:sz w:val="20"/>
                <w:szCs w:val="20"/>
              </w:rPr>
              <w:t xml:space="preserve">dobudovanie, modernizácia a optimalizácia infraštruktúry </w:t>
            </w:r>
            <w:proofErr w:type="spellStart"/>
            <w:r w:rsidRPr="00896563">
              <w:rPr>
                <w:sz w:val="20"/>
                <w:szCs w:val="20"/>
              </w:rPr>
              <w:t>VaV</w:t>
            </w:r>
            <w:proofErr w:type="spellEnd"/>
            <w:r w:rsidRPr="00896563">
              <w:rPr>
                <w:sz w:val="20"/>
                <w:szCs w:val="20"/>
              </w:rPr>
              <w:t xml:space="preserve"> pre spoluprácu v rámci napr. ESFRI;</w:t>
            </w:r>
          </w:p>
          <w:p w14:paraId="1AEFBD27" w14:textId="7485BE28" w:rsidR="00C14AB7" w:rsidRPr="00747EEB" w:rsidRDefault="00C14AB7" w:rsidP="00C14AB7">
            <w:pPr>
              <w:pStyle w:val="Odsekzoznamu"/>
              <w:numPr>
                <w:ilvl w:val="0"/>
                <w:numId w:val="7"/>
              </w:num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C82152">
              <w:rPr>
                <w:sz w:val="20"/>
                <w:szCs w:val="20"/>
              </w:rPr>
              <w:t>dobudovanie výskumných infraštruktúr pre riešenie celospoločenských výziev a mimoriadnych situácií;</w:t>
            </w:r>
          </w:p>
        </w:tc>
      </w:tr>
      <w:tr w:rsidR="00C14AB7" w:rsidRPr="001F7F42" w14:paraId="57A20F18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DCF4B8B" w14:textId="189D07F7" w:rsidR="00C14AB7" w:rsidRPr="00747EEB" w:rsidRDefault="00C14AB7" w:rsidP="00C14AB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Dátum predpokladaného vyhlásenia výzvy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C793" w14:textId="0ADBFB57" w:rsidR="00C14AB7" w:rsidRPr="00747EEB" w:rsidRDefault="007C0FBF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marec </w:t>
            </w:r>
            <w:r w:rsidR="00C14AB7"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</w:tc>
      </w:tr>
      <w:tr w:rsidR="00C14AB7" w:rsidRPr="001F7F42" w14:paraId="5E8DC822" w14:textId="77777777">
        <w:trPr>
          <w:trHeight w:val="27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07CCD83" w14:textId="40444B7F" w:rsidR="00C14AB7" w:rsidRDefault="00C14AB7" w:rsidP="00C14AB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Dátum predpokladaného uzavretia výzvy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E764" w14:textId="7960349D" w:rsidR="00C14AB7" w:rsidRPr="00747EEB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mesiace od vyhlásenia výzvy</w:t>
            </w:r>
          </w:p>
        </w:tc>
      </w:tr>
      <w:tr w:rsidR="00C14AB7" w:rsidRPr="001F7F42" w14:paraId="4AD8E490" w14:textId="77777777" w:rsidTr="00487DEF">
        <w:trPr>
          <w:trHeight w:val="1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70E2AB7" w14:textId="0DAECC6F" w:rsidR="00C14AB7" w:rsidRPr="00747EEB" w:rsidRDefault="00C14AB7" w:rsidP="00C14A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Výška finančných prostriedkov určených na vyčerpanie vo výzve (zdroj EÚ)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FE5D" w14:textId="2920886C" w:rsidR="00C14AB7" w:rsidRPr="00747EEB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410</w:t>
            </w: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000 EUR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z toho:</w:t>
            </w:r>
          </w:p>
          <w:p w14:paraId="4380C1EF" w14:textId="0735E1FF" w:rsidR="00C14AB7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410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 000 EUR (menej rozvinuté regióny)</w:t>
            </w:r>
          </w:p>
          <w:p w14:paraId="7DF22D24" w14:textId="4EBAB1C4" w:rsidR="00C14AB7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42976C" w14:textId="22009CFF" w:rsidR="00C14AB7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 členení na:</w:t>
            </w:r>
          </w:p>
          <w:p w14:paraId="0C93AE78" w14:textId="5FE9EA03" w:rsidR="00C14AB7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Cieľ 1 výzvy: 2 500 000 EUR</w:t>
            </w:r>
          </w:p>
          <w:p w14:paraId="679C83A1" w14:textId="1F78DE49" w:rsidR="00C14AB7" w:rsidRDefault="00C14AB7" w:rsidP="00C14AB7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Cieľ 2 výzvy: 11 910 000 EUR</w:t>
            </w:r>
          </w:p>
          <w:p w14:paraId="1FB42475" w14:textId="3C720E04" w:rsidR="00C14AB7" w:rsidRPr="006A46B3" w:rsidRDefault="00C14AB7" w:rsidP="00C14AB7">
            <w:pPr>
              <w:tabs>
                <w:tab w:val="left" w:pos="150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C14AB7" w:rsidRPr="001F7F42" w14:paraId="7E3ECFB8" w14:textId="77777777" w:rsidTr="00487DEF">
        <w:trPr>
          <w:trHeight w:val="1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9FFF4E3" w14:textId="2EF2C3BB" w:rsidR="00C14AB7" w:rsidRPr="00747EEB" w:rsidRDefault="00C14AB7" w:rsidP="00C14A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Schéma štátnej pomoci/Schéma pomoci de </w:t>
            </w:r>
            <w:proofErr w:type="spellStart"/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minimis</w:t>
            </w:r>
            <w:proofErr w:type="spellEnd"/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(ak relevantné)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896C" w14:textId="3C489D9B" w:rsidR="00C14AB7" w:rsidRPr="00747EEB" w:rsidRDefault="00C14AB7" w:rsidP="00C14AB7">
            <w:pPr>
              <w:ind w:left="2" w:right="4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Schéma SA.115796: Schéma štátnej pomoci na podporu vedy, výskumu a inovácií v oblasti zdravotníctva, zverejnená v obchodnom vestníku dňa 23.8.2024 pod číslom G000087</w:t>
            </w:r>
            <w:r w:rsidRPr="00747EEB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(ďalej ako schéma štátnej pomoci)</w:t>
            </w:r>
          </w:p>
        </w:tc>
      </w:tr>
      <w:tr w:rsidR="00C14AB7" w:rsidRPr="00606A8B" w14:paraId="649DFE6E" w14:textId="77777777">
        <w:tblPrEx>
          <w:tblCellMar>
            <w:top w:w="49" w:type="dxa"/>
          </w:tblCellMar>
        </w:tblPrEx>
        <w:trPr>
          <w:trHeight w:val="37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C827A62" w14:textId="0007080B" w:rsidR="00C14AB7" w:rsidRPr="00606A8B" w:rsidRDefault="00C14AB7" w:rsidP="00C14AB7">
            <w:pPr>
              <w:ind w:right="50"/>
              <w:jc w:val="center"/>
              <w:rPr>
                <w:sz w:val="20"/>
                <w:szCs w:val="20"/>
              </w:rPr>
            </w:pPr>
            <w:r w:rsidRPr="00606A8B">
              <w:rPr>
                <w:sz w:val="20"/>
                <w:szCs w:val="20"/>
              </w:rPr>
              <w:br w:type="page"/>
            </w:r>
            <w:r w:rsidRPr="00221F7A">
              <w:rPr>
                <w:b/>
                <w:szCs w:val="20"/>
              </w:rPr>
              <w:t>Stručný cieľ výzvy</w:t>
            </w:r>
            <w:r w:rsidRPr="00221F7A">
              <w:rPr>
                <w:szCs w:val="20"/>
              </w:rPr>
              <w:t xml:space="preserve"> </w:t>
            </w:r>
          </w:p>
        </w:tc>
      </w:tr>
      <w:tr w:rsidR="00C14AB7" w:rsidRPr="00606A8B" w14:paraId="69F53561" w14:textId="77777777" w:rsidTr="00487DEF">
        <w:tblPrEx>
          <w:tblCellMar>
            <w:top w:w="49" w:type="dxa"/>
          </w:tblCellMar>
        </w:tblPrEx>
        <w:trPr>
          <w:trHeight w:val="645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DDEA" w14:textId="53630ABD" w:rsidR="00C14AB7" w:rsidRPr="006475DD" w:rsidRDefault="00C14AB7" w:rsidP="00C14AB7">
            <w:pPr>
              <w:jc w:val="both"/>
              <w:rPr>
                <w:sz w:val="20"/>
                <w:szCs w:val="20"/>
              </w:rPr>
            </w:pPr>
            <w:bookmarkStart w:id="2" w:name="_Hlk183013188"/>
            <w:r w:rsidRPr="006475DD">
              <w:rPr>
                <w:sz w:val="20"/>
                <w:szCs w:val="20"/>
              </w:rPr>
              <w:lastRenderedPageBreak/>
              <w:t xml:space="preserve">Funkčná </w:t>
            </w:r>
            <w:proofErr w:type="spellStart"/>
            <w:r w:rsidRPr="006475DD">
              <w:rPr>
                <w:sz w:val="20"/>
                <w:szCs w:val="20"/>
              </w:rPr>
              <w:t>biobanková</w:t>
            </w:r>
            <w:proofErr w:type="spellEnd"/>
            <w:r w:rsidRPr="006475DD">
              <w:rPr>
                <w:sz w:val="20"/>
                <w:szCs w:val="20"/>
              </w:rPr>
              <w:t xml:space="preserve"> infraštruktúra je nevyhnutným predpokladom pre kvalitný výskum a</w:t>
            </w:r>
            <w:r w:rsidR="00740B07">
              <w:rPr>
                <w:sz w:val="20"/>
                <w:szCs w:val="20"/>
              </w:rPr>
              <w:t> </w:t>
            </w:r>
            <w:r w:rsidRPr="006475DD">
              <w:rPr>
                <w:sz w:val="20"/>
                <w:szCs w:val="20"/>
              </w:rPr>
              <w:t>vývoj</w:t>
            </w:r>
            <w:r w:rsidR="00740B07">
              <w:rPr>
                <w:sz w:val="20"/>
                <w:szCs w:val="20"/>
              </w:rPr>
              <w:t xml:space="preserve"> v oblasti zdravotníctva</w:t>
            </w:r>
            <w:r w:rsidRPr="006475DD">
              <w:rPr>
                <w:sz w:val="20"/>
                <w:szCs w:val="20"/>
              </w:rPr>
              <w:t xml:space="preserve"> a mimoriadne dôležitým systémovým infraštruktúrnym prvkom pre rozvoj </w:t>
            </w:r>
            <w:proofErr w:type="spellStart"/>
            <w:r w:rsidRPr="006475DD">
              <w:rPr>
                <w:sz w:val="20"/>
                <w:szCs w:val="20"/>
              </w:rPr>
              <w:t>personalizovanej</w:t>
            </w:r>
            <w:proofErr w:type="spellEnd"/>
            <w:r w:rsidRPr="006475DD">
              <w:rPr>
                <w:sz w:val="20"/>
                <w:szCs w:val="20"/>
              </w:rPr>
              <w:t xml:space="preserve">/precíznej medicíny (vrátane takých aktivít, ako je získavanie informácií o </w:t>
            </w:r>
            <w:proofErr w:type="spellStart"/>
            <w:r w:rsidRPr="006475DD">
              <w:rPr>
                <w:sz w:val="20"/>
                <w:szCs w:val="20"/>
              </w:rPr>
              <w:t>biomarkeroch</w:t>
            </w:r>
            <w:proofErr w:type="spellEnd"/>
            <w:r w:rsidRPr="006475DD">
              <w:rPr>
                <w:sz w:val="20"/>
                <w:szCs w:val="20"/>
              </w:rPr>
              <w:t xml:space="preserve"> ochorení a objavovaní nových cieľových molekúl – tzv. „</w:t>
            </w:r>
            <w:proofErr w:type="spellStart"/>
            <w:r w:rsidRPr="006475DD">
              <w:rPr>
                <w:sz w:val="20"/>
                <w:szCs w:val="20"/>
              </w:rPr>
              <w:t>targetov</w:t>
            </w:r>
            <w:proofErr w:type="spellEnd"/>
            <w:r w:rsidRPr="006475DD">
              <w:rPr>
                <w:sz w:val="20"/>
                <w:szCs w:val="20"/>
              </w:rPr>
              <w:t>“ pri vývoji inovatívnych liekov)</w:t>
            </w:r>
            <w:r w:rsidR="00FB1C8F">
              <w:rPr>
                <w:sz w:val="20"/>
                <w:szCs w:val="20"/>
              </w:rPr>
              <w:t xml:space="preserve"> a tým pádom aj nástroj na zlepšenie poskytovania zdravotnej starostlivosti</w:t>
            </w:r>
            <w:r w:rsidRPr="006475DD">
              <w:rPr>
                <w:sz w:val="20"/>
                <w:szCs w:val="20"/>
              </w:rPr>
              <w:t xml:space="preserve">. </w:t>
            </w:r>
            <w:proofErr w:type="spellStart"/>
            <w:r w:rsidRPr="006475DD">
              <w:rPr>
                <w:sz w:val="20"/>
                <w:szCs w:val="20"/>
              </w:rPr>
              <w:t>Biobankovanie</w:t>
            </w:r>
            <w:proofErr w:type="spellEnd"/>
            <w:r w:rsidRPr="006475DD">
              <w:rPr>
                <w:sz w:val="20"/>
                <w:szCs w:val="20"/>
              </w:rPr>
              <w:t xml:space="preserve"> pre účely tejto výzvy chápeme, ako sofistikovaný, vysoko organizovaný systém dlhodobého uskladnenia biologického materiálu s relevantnými klinicko-patologickými, epidemiologickými a </w:t>
            </w:r>
            <w:proofErr w:type="spellStart"/>
            <w:r w:rsidRPr="006475DD">
              <w:rPr>
                <w:sz w:val="20"/>
                <w:szCs w:val="20"/>
              </w:rPr>
              <w:t>biomolekulovými</w:t>
            </w:r>
            <w:proofErr w:type="spellEnd"/>
            <w:r w:rsidRPr="006475DD">
              <w:rPr>
                <w:sz w:val="20"/>
                <w:szCs w:val="20"/>
              </w:rPr>
              <w:t xml:space="preserve"> informáciami</w:t>
            </w:r>
            <w:r w:rsidR="00FB1C8F">
              <w:rPr>
                <w:sz w:val="20"/>
                <w:szCs w:val="20"/>
              </w:rPr>
              <w:t>, ktorý slúži na realizáciu excelentného výskumu a vývoja v oblasti domény Zdravá spoločnosť</w:t>
            </w:r>
            <w:r w:rsidRPr="006475DD">
              <w:rPr>
                <w:sz w:val="20"/>
                <w:szCs w:val="20"/>
              </w:rPr>
              <w:t>.</w:t>
            </w:r>
          </w:p>
          <w:bookmarkEnd w:id="2"/>
          <w:p w14:paraId="5DC92708" w14:textId="77777777" w:rsidR="00C14AB7" w:rsidRPr="006475DD" w:rsidRDefault="00C14AB7" w:rsidP="00C14AB7">
            <w:pPr>
              <w:jc w:val="both"/>
              <w:rPr>
                <w:sz w:val="20"/>
                <w:szCs w:val="20"/>
              </w:rPr>
            </w:pPr>
          </w:p>
          <w:p w14:paraId="6CE39FE5" w14:textId="7A4579C8" w:rsidR="00C14AB7" w:rsidRPr="00684468" w:rsidRDefault="00C14AB7" w:rsidP="00C14AB7">
            <w:pPr>
              <w:jc w:val="both"/>
              <w:rPr>
                <w:sz w:val="20"/>
                <w:szCs w:val="20"/>
              </w:rPr>
            </w:pPr>
            <w:proofErr w:type="spellStart"/>
            <w:r w:rsidRPr="006475DD">
              <w:rPr>
                <w:sz w:val="20"/>
                <w:szCs w:val="20"/>
              </w:rPr>
              <w:t>Biobankový</w:t>
            </w:r>
            <w:proofErr w:type="spellEnd"/>
            <w:r w:rsidRPr="006475DD">
              <w:rPr>
                <w:sz w:val="20"/>
                <w:szCs w:val="20"/>
              </w:rPr>
              <w:t xml:space="preserve"> systém zahŕňa prepojenie procesov od informovania zdravej populácie a pacientov a získanie ich súhlasu s darcovstvom biologického materiálu, zberu údajov o respondentoch, odberu biologického materiálu a jeho zberu, uchovávania a uskladnenia, kontroly kvality, katalogizácie, prístupnosti, spracovania až po distribúciu a zaradenie vzoriek podľa typu do centier </w:t>
            </w:r>
            <w:proofErr w:type="spellStart"/>
            <w:r w:rsidRPr="006475DD">
              <w:rPr>
                <w:sz w:val="20"/>
                <w:szCs w:val="20"/>
              </w:rPr>
              <w:t>biobankového</w:t>
            </w:r>
            <w:proofErr w:type="spellEnd"/>
            <w:r w:rsidRPr="006475DD">
              <w:rPr>
                <w:sz w:val="20"/>
                <w:szCs w:val="20"/>
              </w:rPr>
              <w:t xml:space="preserve"> systému. Existencia </w:t>
            </w:r>
            <w:proofErr w:type="spellStart"/>
            <w:r w:rsidRPr="006475DD">
              <w:rPr>
                <w:sz w:val="20"/>
                <w:szCs w:val="20"/>
              </w:rPr>
              <w:t>biobankovej</w:t>
            </w:r>
            <w:proofErr w:type="spellEnd"/>
            <w:r w:rsidRPr="006475DD">
              <w:rPr>
                <w:sz w:val="20"/>
                <w:szCs w:val="20"/>
              </w:rPr>
              <w:t xml:space="preserve"> infraštruktúry je súčasťou každého moderného biomedicínskeho ekosystému vytvárajúceho prostredie a podmienky pre realizáciu výskumu a vývoja s vysokým potenciálom využiteľnosti výsledkov odborných aktivít v klinickej praxi. </w:t>
            </w:r>
            <w:r w:rsidR="00FB1C8F">
              <w:rPr>
                <w:sz w:val="20"/>
                <w:szCs w:val="20"/>
              </w:rPr>
              <w:t>V neposlednom rade - ak</w:t>
            </w:r>
            <w:r w:rsidRPr="006475DD">
              <w:rPr>
                <w:sz w:val="20"/>
                <w:szCs w:val="20"/>
              </w:rPr>
              <w:t xml:space="preserve"> </w:t>
            </w:r>
            <w:r w:rsidRPr="00684468">
              <w:rPr>
                <w:sz w:val="20"/>
                <w:szCs w:val="20"/>
              </w:rPr>
              <w:t xml:space="preserve">má Slovensko ambíciu účinne prispievať a participovať </w:t>
            </w:r>
            <w:r w:rsidR="00FB1C8F">
              <w:rPr>
                <w:sz w:val="20"/>
                <w:szCs w:val="20"/>
              </w:rPr>
              <w:t>aj</w:t>
            </w:r>
            <w:r w:rsidRPr="00684468">
              <w:rPr>
                <w:sz w:val="20"/>
                <w:szCs w:val="20"/>
              </w:rPr>
              <w:t xml:space="preserve"> </w:t>
            </w:r>
            <w:r w:rsidR="008127BE">
              <w:rPr>
                <w:sz w:val="20"/>
                <w:szCs w:val="20"/>
              </w:rPr>
              <w:t xml:space="preserve">na </w:t>
            </w:r>
            <w:r w:rsidRPr="00684468">
              <w:rPr>
                <w:sz w:val="20"/>
                <w:szCs w:val="20"/>
              </w:rPr>
              <w:t xml:space="preserve">medzinárodných aktivitách v tejto oblasti, musí zabezpečiť kompatibilitu v oblasti infraštruktúry, navýšenie personálnych kapacít a zároveň budovať </w:t>
            </w:r>
            <w:proofErr w:type="spellStart"/>
            <w:r w:rsidRPr="00684468">
              <w:rPr>
                <w:sz w:val="20"/>
                <w:szCs w:val="20"/>
              </w:rPr>
              <w:t>excelentnosť</w:t>
            </w:r>
            <w:proofErr w:type="spellEnd"/>
            <w:r w:rsidRPr="00684468">
              <w:rPr>
                <w:sz w:val="20"/>
                <w:szCs w:val="20"/>
              </w:rPr>
              <w:t xml:space="preserve"> založenú aj na odborných a výskumno-vývojových a inovatívnych poznatkoch z predchádzajúcich, resp. prebiehajúcich aktivít</w:t>
            </w:r>
            <w:r w:rsidR="00FB1C8F">
              <w:rPr>
                <w:sz w:val="20"/>
                <w:szCs w:val="20"/>
              </w:rPr>
              <w:t xml:space="preserve"> v oblasti </w:t>
            </w:r>
            <w:proofErr w:type="spellStart"/>
            <w:r w:rsidR="00FB1C8F">
              <w:rPr>
                <w:sz w:val="20"/>
                <w:szCs w:val="20"/>
              </w:rPr>
              <w:t>biobankovania</w:t>
            </w:r>
            <w:proofErr w:type="spellEnd"/>
            <w:r w:rsidR="00FB1C8F">
              <w:rPr>
                <w:sz w:val="20"/>
                <w:szCs w:val="20"/>
              </w:rPr>
              <w:t>.</w:t>
            </w:r>
            <w:r w:rsidRPr="00684468">
              <w:rPr>
                <w:sz w:val="20"/>
                <w:szCs w:val="20"/>
              </w:rPr>
              <w:t xml:space="preserve"> </w:t>
            </w:r>
          </w:p>
          <w:p w14:paraId="2D696919" w14:textId="77777777" w:rsidR="00C14AB7" w:rsidRPr="00684468" w:rsidRDefault="00C14AB7" w:rsidP="00C14AB7">
            <w:pPr>
              <w:jc w:val="both"/>
              <w:rPr>
                <w:b/>
                <w:sz w:val="20"/>
                <w:szCs w:val="20"/>
              </w:rPr>
            </w:pPr>
          </w:p>
          <w:p w14:paraId="28B13FA1" w14:textId="048FFD70" w:rsidR="00C14AB7" w:rsidRPr="00684468" w:rsidRDefault="00C14AB7" w:rsidP="00C14AB7">
            <w:pPr>
              <w:jc w:val="both"/>
              <w:rPr>
                <w:b/>
                <w:sz w:val="20"/>
                <w:szCs w:val="20"/>
                <w:u w:val="single"/>
              </w:rPr>
            </w:pPr>
            <w:bookmarkStart w:id="3" w:name="_Hlk183013234"/>
            <w:r w:rsidRPr="00684468">
              <w:rPr>
                <w:b/>
                <w:sz w:val="20"/>
                <w:szCs w:val="20"/>
              </w:rPr>
              <w:t xml:space="preserve">V zmysle vyššie uvedeného je základným zámerom výzvy vytvorenie národného systémového </w:t>
            </w:r>
            <w:proofErr w:type="spellStart"/>
            <w:r w:rsidRPr="00684468">
              <w:rPr>
                <w:b/>
                <w:sz w:val="20"/>
                <w:szCs w:val="20"/>
              </w:rPr>
              <w:t>biobankového</w:t>
            </w:r>
            <w:proofErr w:type="spellEnd"/>
            <w:r w:rsidRPr="00684468">
              <w:rPr>
                <w:b/>
                <w:sz w:val="20"/>
                <w:szCs w:val="20"/>
              </w:rPr>
              <w:t xml:space="preserve"> prostredia spoločne s vytvorením funkčnej  výskumnej </w:t>
            </w:r>
            <w:proofErr w:type="spellStart"/>
            <w:r w:rsidRPr="00684468">
              <w:rPr>
                <w:b/>
                <w:sz w:val="20"/>
                <w:szCs w:val="20"/>
              </w:rPr>
              <w:t>biobankovej</w:t>
            </w:r>
            <w:proofErr w:type="spellEnd"/>
            <w:r w:rsidRPr="00684468">
              <w:rPr>
                <w:b/>
                <w:sz w:val="20"/>
                <w:szCs w:val="20"/>
              </w:rPr>
              <w:t xml:space="preserve"> siete umož</w:t>
            </w:r>
            <w:r w:rsidR="00FB1C8F">
              <w:rPr>
                <w:b/>
                <w:sz w:val="20"/>
                <w:szCs w:val="20"/>
              </w:rPr>
              <w:t>ň</w:t>
            </w:r>
            <w:r w:rsidRPr="00684468">
              <w:rPr>
                <w:b/>
                <w:sz w:val="20"/>
                <w:szCs w:val="20"/>
              </w:rPr>
              <w:t>ujúce</w:t>
            </w:r>
            <w:r w:rsidR="00FB1C8F">
              <w:rPr>
                <w:b/>
                <w:sz w:val="20"/>
                <w:szCs w:val="20"/>
              </w:rPr>
              <w:t>j</w:t>
            </w:r>
            <w:r w:rsidRPr="00684468">
              <w:rPr>
                <w:b/>
                <w:sz w:val="20"/>
                <w:szCs w:val="20"/>
              </w:rPr>
              <w:t xml:space="preserve"> v zmysle medzinárodných štandardov a najlepšej medzinárodnej praxe používať vo výskumno-vývojových aktivitách v rámci Domény Zdravá spoločnosť </w:t>
            </w:r>
            <w:proofErr w:type="spellStart"/>
            <w:r w:rsidRPr="00684468">
              <w:rPr>
                <w:b/>
                <w:sz w:val="20"/>
                <w:szCs w:val="20"/>
              </w:rPr>
              <w:t>biobankovanie</w:t>
            </w:r>
            <w:proofErr w:type="spellEnd"/>
            <w:r w:rsidR="00FB1C8F">
              <w:rPr>
                <w:b/>
                <w:sz w:val="20"/>
                <w:szCs w:val="20"/>
              </w:rPr>
              <w:t xml:space="preserve"> a tým v konečnom dôsledku prispieť ku skvalitneniu poskytovania zdravotnej starostlivosti na Slovensku</w:t>
            </w:r>
            <w:r w:rsidRPr="00684468">
              <w:rPr>
                <w:b/>
                <w:sz w:val="20"/>
                <w:szCs w:val="20"/>
              </w:rPr>
              <w:t>.</w:t>
            </w:r>
            <w:r w:rsidR="00FB1C8F">
              <w:rPr>
                <w:b/>
                <w:sz w:val="20"/>
                <w:szCs w:val="20"/>
              </w:rPr>
              <w:t xml:space="preserve"> </w:t>
            </w:r>
            <w:r w:rsidRPr="00684468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645273E2" w14:textId="4A34944B" w:rsidR="00C14AB7" w:rsidRPr="00684468" w:rsidRDefault="00C14AB7" w:rsidP="00C14AB7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6932C6DB" w14:textId="1EB3E0DC" w:rsidR="00C14AB7" w:rsidRPr="00684468" w:rsidRDefault="00C14AB7" w:rsidP="00C14AB7">
            <w:pPr>
              <w:jc w:val="both"/>
              <w:rPr>
                <w:b/>
                <w:sz w:val="20"/>
                <w:szCs w:val="20"/>
              </w:rPr>
            </w:pPr>
            <w:r w:rsidRPr="00684468">
              <w:rPr>
                <w:sz w:val="20"/>
                <w:szCs w:val="20"/>
              </w:rPr>
              <w:t xml:space="preserve">Prostredníctvom implementácie podporených projektov sa vytvorí národná sieť výskumných </w:t>
            </w:r>
            <w:proofErr w:type="spellStart"/>
            <w:r w:rsidRPr="00684468">
              <w:rPr>
                <w:sz w:val="20"/>
                <w:szCs w:val="20"/>
              </w:rPr>
              <w:t>biobánk</w:t>
            </w:r>
            <w:proofErr w:type="spellEnd"/>
            <w:r w:rsidRPr="00684468">
              <w:rPr>
                <w:sz w:val="20"/>
                <w:szCs w:val="20"/>
              </w:rPr>
              <w:t xml:space="preserve">, ktorá združí existujúce slovenské harmonizované </w:t>
            </w:r>
            <w:proofErr w:type="spellStart"/>
            <w:r w:rsidRPr="00684468">
              <w:rPr>
                <w:sz w:val="20"/>
                <w:szCs w:val="20"/>
              </w:rPr>
              <w:t>biobanky</w:t>
            </w:r>
            <w:proofErr w:type="spellEnd"/>
            <w:r w:rsidRPr="00684468">
              <w:rPr>
                <w:sz w:val="20"/>
                <w:szCs w:val="20"/>
              </w:rPr>
              <w:t xml:space="preserve"> schopné prepojiť sa na medzinárodný </w:t>
            </w:r>
            <w:proofErr w:type="spellStart"/>
            <w:r w:rsidRPr="00684468">
              <w:rPr>
                <w:sz w:val="20"/>
                <w:szCs w:val="20"/>
              </w:rPr>
              <w:t>biobankový</w:t>
            </w:r>
            <w:proofErr w:type="spellEnd"/>
            <w:r w:rsidRPr="00684468">
              <w:rPr>
                <w:sz w:val="20"/>
                <w:szCs w:val="20"/>
              </w:rPr>
              <w:t xml:space="preserve"> systém. Súčasťou implementácie podporených projektov bude vytvorenie národných štandardov platných pre tento typ výskumnej infraštruktúry a jej fungovania v celom ekosystéme. </w:t>
            </w:r>
            <w:r w:rsidRPr="00684468">
              <w:rPr>
                <w:b/>
                <w:sz w:val="20"/>
                <w:szCs w:val="20"/>
              </w:rPr>
              <w:t>Prostredníctvom podporených projektov sa vytvorí nasledovná pridaná hodnota:</w:t>
            </w:r>
          </w:p>
          <w:p w14:paraId="5C039CFE" w14:textId="6750EC5F" w:rsidR="00C14AB7" w:rsidRPr="00684468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Cs/>
                <w:sz w:val="20"/>
                <w:szCs w:val="20"/>
              </w:rPr>
              <w:t xml:space="preserve">vytvorenie základných funkčných zložiek distribuovaného národného </w:t>
            </w:r>
            <w:proofErr w:type="spellStart"/>
            <w:r w:rsidRPr="00684468">
              <w:rPr>
                <w:bCs/>
                <w:sz w:val="20"/>
                <w:szCs w:val="20"/>
              </w:rPr>
              <w:t>biobankového</w:t>
            </w:r>
            <w:proofErr w:type="spellEnd"/>
            <w:r w:rsidRPr="00684468">
              <w:rPr>
                <w:bCs/>
                <w:sz w:val="20"/>
                <w:szCs w:val="20"/>
              </w:rPr>
              <w:t xml:space="preserve"> systému, vrátane infraštruktúry potrebnej pre moderné </w:t>
            </w:r>
            <w:proofErr w:type="spellStart"/>
            <w:r w:rsidRPr="00684468">
              <w:rPr>
                <w:bCs/>
                <w:sz w:val="20"/>
                <w:szCs w:val="20"/>
              </w:rPr>
              <w:t>biobankovanie</w:t>
            </w:r>
            <w:proofErr w:type="spellEnd"/>
            <w:r w:rsidRPr="00684468">
              <w:rPr>
                <w:bCs/>
                <w:sz w:val="20"/>
                <w:szCs w:val="20"/>
              </w:rPr>
              <w:t>,</w:t>
            </w:r>
          </w:p>
          <w:p w14:paraId="11AAA986" w14:textId="7E663F40" w:rsidR="00C14AB7" w:rsidRPr="00684468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Cs/>
                <w:sz w:val="20"/>
                <w:szCs w:val="20"/>
              </w:rPr>
              <w:t xml:space="preserve">vytvorenie a implementácia medzinárodných štandardov pre </w:t>
            </w:r>
            <w:proofErr w:type="spellStart"/>
            <w:r w:rsidRPr="00684468">
              <w:rPr>
                <w:bCs/>
                <w:sz w:val="20"/>
                <w:szCs w:val="20"/>
              </w:rPr>
              <w:t>biobankovanie</w:t>
            </w:r>
            <w:proofErr w:type="spellEnd"/>
            <w:r w:rsidRPr="00684468">
              <w:rPr>
                <w:bCs/>
                <w:sz w:val="20"/>
                <w:szCs w:val="20"/>
              </w:rPr>
              <w:t xml:space="preserve"> do vedeckých aktivít v oblasti zdravotníctva na Slovensko,</w:t>
            </w:r>
          </w:p>
          <w:p w14:paraId="5472BAA4" w14:textId="77777777" w:rsidR="00FB57E2" w:rsidRPr="00FB57E2" w:rsidRDefault="00FB57E2" w:rsidP="00FB57E2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vytvorenie fungujúcich medzinárodných partnerstiev – vrátane spolupráce v rámci členských </w:t>
            </w:r>
            <w:proofErr w:type="spellStart"/>
            <w:r w:rsidRPr="00FB57E2">
              <w:rPr>
                <w:rFonts w:cs="Times New Roman"/>
                <w:color w:val="000000"/>
                <w:sz w:val="20"/>
                <w:szCs w:val="20"/>
              </w:rPr>
              <w:t>biobánk</w:t>
            </w:r>
            <w:proofErr w:type="spellEnd"/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 Výskumnej infraštruktúry pre </w:t>
            </w:r>
            <w:proofErr w:type="spellStart"/>
            <w:r w:rsidRPr="00FB57E2">
              <w:rPr>
                <w:rFonts w:cs="Times New Roman"/>
                <w:color w:val="000000"/>
                <w:sz w:val="20"/>
                <w:szCs w:val="20"/>
              </w:rPr>
              <w:t>biobankovanie</w:t>
            </w:r>
            <w:proofErr w:type="spellEnd"/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 a </w:t>
            </w:r>
            <w:proofErr w:type="spellStart"/>
            <w:r w:rsidRPr="00FB57E2">
              <w:rPr>
                <w:rFonts w:cs="Times New Roman"/>
                <w:color w:val="000000"/>
                <w:sz w:val="20"/>
                <w:szCs w:val="20"/>
              </w:rPr>
              <w:t>biomolekulárne</w:t>
            </w:r>
            <w:proofErr w:type="spellEnd"/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 zdroje (</w:t>
            </w:r>
            <w:hyperlink r:id="rId8" w:history="1">
              <w:r w:rsidRPr="00FB57E2">
                <w:rPr>
                  <w:rStyle w:val="Hypertextovprepojenie"/>
                  <w:rFonts w:cs="Times New Roman"/>
                  <w:sz w:val="20"/>
                  <w:szCs w:val="20"/>
                </w:rPr>
                <w:t>https://www.bbmri-eric.eu/</w:t>
              </w:r>
            </w:hyperlink>
            <w:r w:rsidRPr="00FB57E2">
              <w:rPr>
                <w:rFonts w:cs="Times New Roman"/>
                <w:color w:val="000000"/>
                <w:sz w:val="20"/>
                <w:szCs w:val="20"/>
              </w:rPr>
              <w:t>)</w:t>
            </w:r>
            <w:r w:rsidRPr="00FB57E2">
              <w:rPr>
                <w:rStyle w:val="Odkaznapoznmkupodiarou"/>
                <w:rFonts w:cs="Times New Roman"/>
                <w:color w:val="000000"/>
                <w:sz w:val="20"/>
                <w:szCs w:val="20"/>
              </w:rPr>
              <w:footnoteReference w:id="2"/>
            </w:r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, ako ESFRI infraštruktúry pre </w:t>
            </w:r>
            <w:proofErr w:type="spellStart"/>
            <w:r w:rsidRPr="00FB57E2">
              <w:rPr>
                <w:rFonts w:cs="Times New Roman"/>
                <w:color w:val="000000"/>
                <w:sz w:val="20"/>
                <w:szCs w:val="20"/>
              </w:rPr>
              <w:t>biobankovanie</w:t>
            </w:r>
            <w:proofErr w:type="spellEnd"/>
            <w:r w:rsidRPr="00FB57E2">
              <w:rPr>
                <w:rFonts w:cs="Times New Roman"/>
                <w:color w:val="000000"/>
                <w:sz w:val="20"/>
                <w:szCs w:val="20"/>
              </w:rPr>
              <w:t>,</w:t>
            </w:r>
          </w:p>
          <w:p w14:paraId="506EFCDE" w14:textId="77777777" w:rsidR="00FB57E2" w:rsidRPr="00FB57E2" w:rsidRDefault="00FB57E2" w:rsidP="00FB57E2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vytvorenie personálnej bázy vyškolených odborníkov pre oblasť </w:t>
            </w:r>
            <w:proofErr w:type="spellStart"/>
            <w:r w:rsidRPr="00FB57E2">
              <w:rPr>
                <w:rFonts w:cs="Times New Roman"/>
                <w:color w:val="000000"/>
                <w:sz w:val="20"/>
                <w:szCs w:val="20"/>
              </w:rPr>
              <w:t>biobankového</w:t>
            </w:r>
            <w:proofErr w:type="spellEnd"/>
            <w:r w:rsidRPr="00FB57E2">
              <w:rPr>
                <w:rFonts w:cs="Times New Roman"/>
                <w:color w:val="000000"/>
                <w:sz w:val="20"/>
                <w:szCs w:val="20"/>
              </w:rPr>
              <w:t xml:space="preserve"> výskumného sektora,</w:t>
            </w:r>
          </w:p>
          <w:p w14:paraId="5FE4F6AE" w14:textId="33EA2E87" w:rsidR="00C14AB7" w:rsidRPr="00684468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Cs/>
                <w:sz w:val="20"/>
                <w:szCs w:val="20"/>
              </w:rPr>
              <w:t>vytvorenie základných a transparentných pravidiel pre spoluprácu so súkromným/podnikateľským sektorom,</w:t>
            </w:r>
          </w:p>
          <w:p w14:paraId="734C83E4" w14:textId="6F66EBE7" w:rsidR="00C14AB7" w:rsidRPr="00684468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Cs/>
                <w:sz w:val="20"/>
                <w:szCs w:val="20"/>
              </w:rPr>
              <w:t xml:space="preserve">realizácia pilotných výskumno-vývojových aktivít v rámci jednotlivých </w:t>
            </w:r>
            <w:proofErr w:type="spellStart"/>
            <w:r w:rsidRPr="00684468">
              <w:rPr>
                <w:bCs/>
                <w:sz w:val="20"/>
                <w:szCs w:val="20"/>
              </w:rPr>
              <w:t>biobánk</w:t>
            </w:r>
            <w:proofErr w:type="spellEnd"/>
            <w:r w:rsidRPr="00684468">
              <w:rPr>
                <w:bCs/>
                <w:sz w:val="20"/>
                <w:szCs w:val="20"/>
              </w:rPr>
              <w:t>.</w:t>
            </w:r>
          </w:p>
          <w:p w14:paraId="22B1EA9F" w14:textId="77777777" w:rsidR="00C14AB7" w:rsidRPr="00684468" w:rsidRDefault="00C14AB7" w:rsidP="00C14AB7">
            <w:pPr>
              <w:rPr>
                <w:b/>
                <w:sz w:val="20"/>
                <w:szCs w:val="20"/>
                <w:u w:val="single"/>
              </w:rPr>
            </w:pPr>
          </w:p>
          <w:p w14:paraId="1E82A929" w14:textId="7F29E2EF" w:rsidR="00C14AB7" w:rsidRPr="00684468" w:rsidRDefault="00C14AB7" w:rsidP="00C14AB7">
            <w:pPr>
              <w:jc w:val="both"/>
              <w:rPr>
                <w:b/>
                <w:sz w:val="20"/>
                <w:szCs w:val="20"/>
                <w:u w:val="single"/>
              </w:rPr>
            </w:pPr>
            <w:bookmarkStart w:id="4" w:name="_Hlk178584466"/>
            <w:r w:rsidRPr="00684468">
              <w:rPr>
                <w:b/>
                <w:sz w:val="20"/>
                <w:szCs w:val="20"/>
                <w:u w:val="single"/>
              </w:rPr>
              <w:t>Výzva bude realizovaná prostredníctvom dvoch cieľov:</w:t>
            </w:r>
          </w:p>
          <w:p w14:paraId="0B015B5A" w14:textId="3B8F38CF" w:rsidR="00C14AB7" w:rsidRPr="00684468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/>
                <w:sz w:val="20"/>
                <w:szCs w:val="20"/>
              </w:rPr>
              <w:t>Cieľ 1: podpora vytvorenia</w:t>
            </w:r>
            <w:r w:rsidR="00507E56">
              <w:rPr>
                <w:b/>
                <w:sz w:val="20"/>
                <w:szCs w:val="20"/>
              </w:rPr>
              <w:t xml:space="preserve"> harmonizovaného</w:t>
            </w:r>
            <w:r w:rsidRPr="00684468">
              <w:rPr>
                <w:b/>
                <w:sz w:val="20"/>
                <w:szCs w:val="20"/>
              </w:rPr>
              <w:t xml:space="preserve"> národného systémového prostredia</w:t>
            </w:r>
            <w:r w:rsidR="00507E56">
              <w:rPr>
                <w:b/>
                <w:sz w:val="20"/>
                <w:szCs w:val="20"/>
              </w:rPr>
              <w:t xml:space="preserve"> pre výskumné </w:t>
            </w:r>
            <w:proofErr w:type="spellStart"/>
            <w:r w:rsidR="00507E56">
              <w:rPr>
                <w:b/>
                <w:sz w:val="20"/>
                <w:szCs w:val="20"/>
              </w:rPr>
              <w:t>biobankovanie</w:t>
            </w:r>
            <w:proofErr w:type="spellEnd"/>
            <w:r w:rsidR="00507E56">
              <w:rPr>
                <w:b/>
                <w:sz w:val="20"/>
                <w:szCs w:val="20"/>
              </w:rPr>
              <w:t xml:space="preserve"> – </w:t>
            </w:r>
            <w:r w:rsidR="00507E56" w:rsidRPr="00507E56">
              <w:rPr>
                <w:bCs/>
                <w:sz w:val="20"/>
                <w:szCs w:val="20"/>
              </w:rPr>
              <w:t>a to</w:t>
            </w:r>
            <w:r w:rsidR="004971D3" w:rsidRPr="00507E56">
              <w:rPr>
                <w:bCs/>
                <w:sz w:val="20"/>
                <w:szCs w:val="20"/>
              </w:rPr>
              <w:t xml:space="preserve"> prostredníctvom kombinácie rôznych typov oprávnených aktivít – primárne vytvorenie spoločnej systémovej infraštruktúry vo forme „jednotného kontaktného miesta“ pre výskumné </w:t>
            </w:r>
            <w:proofErr w:type="spellStart"/>
            <w:r w:rsidR="004971D3" w:rsidRPr="00507E56">
              <w:rPr>
                <w:bCs/>
                <w:sz w:val="20"/>
                <w:szCs w:val="20"/>
              </w:rPr>
              <w:t>biobankovanie</w:t>
            </w:r>
            <w:proofErr w:type="spellEnd"/>
            <w:r w:rsidR="004971D3" w:rsidRPr="00507E56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4971D3" w:rsidRPr="00507E56">
              <w:rPr>
                <w:bCs/>
                <w:sz w:val="20"/>
                <w:szCs w:val="20"/>
              </w:rPr>
              <w:t>koordinančnej</w:t>
            </w:r>
            <w:proofErr w:type="spellEnd"/>
            <w:r w:rsidR="004971D3" w:rsidRPr="00507E56">
              <w:rPr>
                <w:bCs/>
                <w:sz w:val="20"/>
                <w:szCs w:val="20"/>
              </w:rPr>
              <w:t xml:space="preserve"> platformy a harmonizovaných pravidiel ako aj výskumn</w:t>
            </w:r>
            <w:r w:rsidR="00507E56" w:rsidRPr="00507E56">
              <w:rPr>
                <w:bCs/>
                <w:sz w:val="20"/>
                <w:szCs w:val="20"/>
              </w:rPr>
              <w:t xml:space="preserve">ej aktivity v oblasti systémového prístupu pre výskumné </w:t>
            </w:r>
            <w:proofErr w:type="spellStart"/>
            <w:r w:rsidR="00507E56" w:rsidRPr="00507E56">
              <w:rPr>
                <w:bCs/>
                <w:sz w:val="20"/>
                <w:szCs w:val="20"/>
              </w:rPr>
              <w:t>biobankovanie</w:t>
            </w:r>
            <w:proofErr w:type="spellEnd"/>
            <w:r w:rsidR="00507E56" w:rsidRPr="00507E56">
              <w:rPr>
                <w:bCs/>
                <w:sz w:val="20"/>
                <w:szCs w:val="20"/>
              </w:rPr>
              <w:t xml:space="preserve"> v podmienkach Slovenska</w:t>
            </w:r>
            <w:r w:rsidR="004971D3">
              <w:rPr>
                <w:b/>
                <w:sz w:val="20"/>
                <w:szCs w:val="20"/>
              </w:rPr>
              <w:t xml:space="preserve"> </w:t>
            </w:r>
            <w:r w:rsidRPr="00684468">
              <w:rPr>
                <w:b/>
                <w:sz w:val="20"/>
                <w:szCs w:val="20"/>
              </w:rPr>
              <w:t xml:space="preserve">, </w:t>
            </w:r>
            <w:r w:rsidRPr="00684468">
              <w:rPr>
                <w:bCs/>
                <w:sz w:val="20"/>
                <w:szCs w:val="20"/>
              </w:rPr>
              <w:t xml:space="preserve">pričom v rámci tohto cieľa sa predpokladá podpora 1 </w:t>
            </w:r>
            <w:proofErr w:type="spellStart"/>
            <w:r w:rsidRPr="00684468">
              <w:rPr>
                <w:bCs/>
                <w:sz w:val="20"/>
                <w:szCs w:val="20"/>
              </w:rPr>
              <w:t>ŽoNFP</w:t>
            </w:r>
            <w:proofErr w:type="spellEnd"/>
            <w:r w:rsidRPr="00684468">
              <w:rPr>
                <w:bCs/>
                <w:sz w:val="20"/>
                <w:szCs w:val="20"/>
              </w:rPr>
              <w:t>.</w:t>
            </w:r>
          </w:p>
          <w:p w14:paraId="0359BD10" w14:textId="41655486" w:rsidR="00C14AB7" w:rsidRDefault="00C14AB7" w:rsidP="00FB57E2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 w:rsidRPr="00684468">
              <w:rPr>
                <w:b/>
                <w:sz w:val="20"/>
                <w:szCs w:val="20"/>
              </w:rPr>
              <w:t xml:space="preserve">Cieľ 2: podpora vytvorenia </w:t>
            </w:r>
            <w:r w:rsidR="004971D3">
              <w:rPr>
                <w:b/>
                <w:sz w:val="20"/>
                <w:szCs w:val="20"/>
              </w:rPr>
              <w:t xml:space="preserve">funkčnej </w:t>
            </w:r>
            <w:r w:rsidRPr="00684468">
              <w:rPr>
                <w:b/>
                <w:sz w:val="20"/>
                <w:szCs w:val="20"/>
              </w:rPr>
              <w:t xml:space="preserve">distribuovanej výskumno-vývojovej </w:t>
            </w:r>
            <w:proofErr w:type="spellStart"/>
            <w:r w:rsidRPr="00684468">
              <w:rPr>
                <w:b/>
                <w:sz w:val="20"/>
                <w:szCs w:val="20"/>
              </w:rPr>
              <w:t>biobankovej</w:t>
            </w:r>
            <w:proofErr w:type="spellEnd"/>
            <w:r w:rsidR="004971D3">
              <w:rPr>
                <w:b/>
                <w:sz w:val="20"/>
                <w:szCs w:val="20"/>
              </w:rPr>
              <w:t xml:space="preserve"> siete – </w:t>
            </w:r>
            <w:r w:rsidR="004971D3" w:rsidRPr="00507E56">
              <w:rPr>
                <w:bCs/>
                <w:sz w:val="20"/>
                <w:szCs w:val="20"/>
              </w:rPr>
              <w:t>a to prostredníctvom kombinácie rôznych typov oprávnených aktivít – aktivity zameranej na modernizáciu/vytvorenie potrebnej výskumnej infraštruktúry a súvisiacich podporených aktivít (pozri ďalej v príslušnej PPP)</w:t>
            </w:r>
            <w:r w:rsidRPr="00507E56">
              <w:rPr>
                <w:bCs/>
                <w:sz w:val="20"/>
                <w:szCs w:val="20"/>
              </w:rPr>
              <w:t xml:space="preserve">  a pilotných výskumno-vývojových aktivít</w:t>
            </w:r>
            <w:r w:rsidRPr="00684468">
              <w:rPr>
                <w:b/>
                <w:sz w:val="20"/>
                <w:szCs w:val="20"/>
              </w:rPr>
              <w:t>,</w:t>
            </w:r>
            <w:r w:rsidRPr="00684468">
              <w:rPr>
                <w:b/>
                <w:sz w:val="20"/>
                <w:szCs w:val="20"/>
                <w:u w:val="single"/>
              </w:rPr>
              <w:t xml:space="preserve"> </w:t>
            </w:r>
            <w:r w:rsidRPr="00684468">
              <w:rPr>
                <w:bCs/>
                <w:sz w:val="20"/>
                <w:szCs w:val="20"/>
              </w:rPr>
              <w:t xml:space="preserve">pričom v rámci tohto cieľa sa predpokladá podpora dvoch typov </w:t>
            </w:r>
            <w:r w:rsidR="00507E56">
              <w:rPr>
                <w:bCs/>
                <w:sz w:val="20"/>
                <w:szCs w:val="20"/>
              </w:rPr>
              <w:t>aktivít</w:t>
            </w:r>
            <w:r w:rsidR="00507E56" w:rsidRPr="00684468">
              <w:rPr>
                <w:bCs/>
                <w:sz w:val="20"/>
                <w:szCs w:val="20"/>
              </w:rPr>
              <w:t xml:space="preserve"> </w:t>
            </w:r>
            <w:r w:rsidRPr="00684468">
              <w:rPr>
                <w:bCs/>
                <w:sz w:val="20"/>
                <w:szCs w:val="20"/>
              </w:rPr>
              <w:t xml:space="preserve">na podporu individuálnych </w:t>
            </w:r>
            <w:proofErr w:type="spellStart"/>
            <w:r w:rsidRPr="00684468">
              <w:rPr>
                <w:bCs/>
                <w:sz w:val="20"/>
                <w:szCs w:val="20"/>
              </w:rPr>
              <w:t>biobánk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14:paraId="0051FD0D" w14:textId="60E95457" w:rsidR="00C14AB7" w:rsidRDefault="00C14AB7" w:rsidP="00FB57E2">
            <w:pPr>
              <w:pStyle w:val="Odsekzoznamu"/>
              <w:numPr>
                <w:ilvl w:val="1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lastRenderedPageBreak/>
              <w:t>ŽoNFP</w:t>
            </w:r>
            <w:proofErr w:type="spellEnd"/>
            <w:r>
              <w:rPr>
                <w:bCs/>
                <w:sz w:val="20"/>
                <w:szCs w:val="20"/>
              </w:rPr>
              <w:t xml:space="preserve"> v rámci cieľa 2a.) - podpora ďalšieho rozvoja existujúcich </w:t>
            </w:r>
            <w:proofErr w:type="spellStart"/>
            <w:r>
              <w:rPr>
                <w:bCs/>
                <w:sz w:val="20"/>
                <w:szCs w:val="20"/>
              </w:rPr>
              <w:t>biobánk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</w:p>
          <w:p w14:paraId="28723B02" w14:textId="7A10990C" w:rsidR="00C14AB7" w:rsidRPr="00C14AB7" w:rsidRDefault="00C14AB7" w:rsidP="00FB57E2">
            <w:pPr>
              <w:pStyle w:val="Odsekzoznamu"/>
              <w:numPr>
                <w:ilvl w:val="1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B2693B">
              <w:rPr>
                <w:bCs/>
                <w:sz w:val="20"/>
                <w:szCs w:val="20"/>
              </w:rPr>
              <w:t>ŽoNFP</w:t>
            </w:r>
            <w:proofErr w:type="spellEnd"/>
            <w:r w:rsidRPr="00B2693B">
              <w:rPr>
                <w:bCs/>
                <w:sz w:val="20"/>
                <w:szCs w:val="20"/>
              </w:rPr>
              <w:t xml:space="preserve"> v rámci cieľa 2b.) - podpora zriadenia nových </w:t>
            </w:r>
            <w:proofErr w:type="spellStart"/>
            <w:r w:rsidRPr="00B2693B">
              <w:rPr>
                <w:bCs/>
                <w:sz w:val="20"/>
                <w:szCs w:val="20"/>
              </w:rPr>
              <w:t>biobánk</w:t>
            </w:r>
            <w:proofErr w:type="spellEnd"/>
            <w:r w:rsidR="00FB1C8F">
              <w:rPr>
                <w:bCs/>
                <w:sz w:val="20"/>
                <w:szCs w:val="20"/>
              </w:rPr>
              <w:t>.</w:t>
            </w:r>
            <w:r w:rsidRPr="00B2693B">
              <w:rPr>
                <w:bCs/>
                <w:sz w:val="20"/>
                <w:szCs w:val="20"/>
              </w:rPr>
              <w:t xml:space="preserve"> </w:t>
            </w:r>
            <w:bookmarkEnd w:id="4"/>
          </w:p>
          <w:bookmarkEnd w:id="3"/>
          <w:p w14:paraId="06B85DDA" w14:textId="7C07A462" w:rsidR="00C14AB7" w:rsidRPr="00606A8B" w:rsidRDefault="00C14AB7" w:rsidP="00C14AB7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CE9DAA5" w14:textId="77777777" w:rsidR="003D1E89" w:rsidRDefault="007A76CF">
      <w:pPr>
        <w:spacing w:after="0"/>
        <w:ind w:left="176"/>
      </w:pPr>
      <w:r>
        <w:rPr>
          <w:sz w:val="24"/>
        </w:rPr>
        <w:lastRenderedPageBreak/>
        <w:t xml:space="preserve"> </w:t>
      </w:r>
    </w:p>
    <w:tbl>
      <w:tblPr>
        <w:tblStyle w:val="TableGrid"/>
        <w:tblW w:w="10167" w:type="dxa"/>
        <w:tblInd w:w="-107" w:type="dxa"/>
        <w:tblCellMar>
          <w:top w:w="45" w:type="dxa"/>
          <w:left w:w="80" w:type="dxa"/>
          <w:right w:w="56" w:type="dxa"/>
        </w:tblCellMar>
        <w:tblLook w:val="04A0" w:firstRow="1" w:lastRow="0" w:firstColumn="1" w:lastColumn="0" w:noHBand="0" w:noVBand="1"/>
      </w:tblPr>
      <w:tblGrid>
        <w:gridCol w:w="2298"/>
        <w:gridCol w:w="7869"/>
      </w:tblGrid>
      <w:tr w:rsidR="003D1E89" w14:paraId="5D3CE39A" w14:textId="77777777" w:rsidTr="00487DEF">
        <w:trPr>
          <w:trHeight w:val="1267"/>
        </w:trPr>
        <w:tc>
          <w:tcPr>
            <w:tcW w:w="10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5EC170B" w14:textId="741861E3" w:rsidR="003D1E89" w:rsidRPr="00C14AB7" w:rsidRDefault="007A76CF" w:rsidP="00C14AB7">
            <w:pPr>
              <w:pStyle w:val="Odsekzoznamu"/>
              <w:ind w:left="360" w:right="21"/>
              <w:jc w:val="center"/>
              <w:rPr>
                <w:rFonts w:cstheme="minorHAnsi"/>
                <w:b/>
                <w:szCs w:val="20"/>
              </w:rPr>
            </w:pPr>
            <w:r w:rsidRPr="00747EEB">
              <w:rPr>
                <w:rFonts w:cstheme="minorHAnsi"/>
                <w:sz w:val="24"/>
              </w:rPr>
              <w:t xml:space="preserve"> </w:t>
            </w:r>
            <w:r w:rsidR="00C14AB7">
              <w:rPr>
                <w:rFonts w:cstheme="minorHAnsi"/>
                <w:b/>
                <w:szCs w:val="20"/>
              </w:rPr>
              <w:t>Vybrané p</w:t>
            </w:r>
            <w:r w:rsidR="00C14AB7" w:rsidRPr="00221F7A">
              <w:rPr>
                <w:rFonts w:cstheme="minorHAnsi"/>
                <w:b/>
                <w:szCs w:val="20"/>
              </w:rPr>
              <w:t xml:space="preserve">odmienky </w:t>
            </w:r>
            <w:r w:rsidR="00C14AB7">
              <w:rPr>
                <w:rFonts w:cstheme="minorHAnsi"/>
                <w:b/>
                <w:szCs w:val="20"/>
              </w:rPr>
              <w:t>pre účely zámeru výzvy, diskusie s pracovnou skupinou domény Zdravá spoločnosť a</w:t>
            </w:r>
            <w:r w:rsidR="00EB0434">
              <w:rPr>
                <w:rFonts w:cstheme="minorHAnsi"/>
                <w:b/>
                <w:szCs w:val="20"/>
              </w:rPr>
              <w:t> posúdenia navrhovaných</w:t>
            </w:r>
            <w:r w:rsidR="00C14AB7">
              <w:rPr>
                <w:rFonts w:cstheme="minorHAnsi"/>
                <w:b/>
                <w:szCs w:val="20"/>
              </w:rPr>
              <w:t xml:space="preserve"> hodnotiacich a výberových kritérií</w:t>
            </w:r>
          </w:p>
        </w:tc>
      </w:tr>
      <w:tr w:rsidR="003D1E89" w14:paraId="23DA98B7" w14:textId="77777777" w:rsidTr="00487DEF">
        <w:trPr>
          <w:trHeight w:val="7170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23C1937" w14:textId="5CCF671C" w:rsidR="003D1E89" w:rsidRPr="00747EEB" w:rsidRDefault="007A76CF">
            <w:pPr>
              <w:ind w:left="343" w:hanging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 w:rsidRPr="00747EEB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</w:t>
            </w:r>
            <w:r w:rsidR="00A579A4" w:rsidRPr="00747EEB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</w:t>
            </w:r>
            <w:r w:rsidR="00667BCD" w:rsidRPr="00747EE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Oprávnenosť žiadateľa / partnera – právna forma a partnerstvo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CAA0" w14:textId="7A210654" w:rsidR="00667BCD" w:rsidRPr="00747EEB" w:rsidRDefault="00667BCD" w:rsidP="005D2B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Všeobecná oprávnenosť žiadateľa/partnera:</w:t>
            </w:r>
          </w:p>
          <w:p w14:paraId="046A93A4" w14:textId="77777777" w:rsidR="00667BCD" w:rsidRPr="00747EEB" w:rsidRDefault="00667BCD">
            <w:pPr>
              <w:spacing w:after="12"/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A032F7" w14:textId="72070E6D" w:rsidR="003D1E89" w:rsidRPr="00747EEB" w:rsidRDefault="007A76CF">
            <w:pPr>
              <w:spacing w:after="12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Oprávneným žiadateľom</w:t>
            </w:r>
            <w:r w:rsidR="00667BCD"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/p</w:t>
            </w:r>
            <w:r w:rsidR="00B02A6F"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artnerom</w:t>
            </w:r>
            <w:r w:rsidR="00A36D60"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na predloženie </w:t>
            </w:r>
            <w:proofErr w:type="spellStart"/>
            <w:r w:rsidR="00A36D60" w:rsidRPr="00747EEB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A36D60"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sú</w:t>
            </w:r>
            <w:r w:rsidR="007C0FB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:  </w:t>
            </w:r>
          </w:p>
          <w:p w14:paraId="2A1BE4E6" w14:textId="20C9EFEF" w:rsidR="00705517" w:rsidRPr="00747EEB" w:rsidRDefault="00705517" w:rsidP="00705517">
            <w:pPr>
              <w:spacing w:after="12"/>
              <w:ind w:left="2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právnické osoby uskutočňujúce výskum a vývoj podľa § 7 písm. a), b)</w:t>
            </w:r>
            <w:r w:rsidR="00667BCD" w:rsidRPr="00747E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c)</w:t>
            </w:r>
            <w:r w:rsidR="00667BCD" w:rsidRPr="00747EEB">
              <w:rPr>
                <w:rFonts w:asciiTheme="minorHAnsi" w:hAnsiTheme="minorHAnsi" w:cstheme="minorHAnsi"/>
                <w:sz w:val="20"/>
                <w:szCs w:val="20"/>
              </w:rPr>
              <w:t>, d)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a e) zákona č. 172/2005 Z. z. o organizácii štátnej podpory výskumu a vývoja a o doplnení zákona č. 575/2001 Z. z. o organizácii činnosti vlády a organizácií ústrednej štátnej správy v znení neskorších predpisov – konkrétne nasledovné subjekty:</w:t>
            </w:r>
          </w:p>
          <w:p w14:paraId="52E98EAD" w14:textId="09013019" w:rsidR="00487DEF" w:rsidRPr="00B50464" w:rsidRDefault="0029102A" w:rsidP="00B50464">
            <w:pPr>
              <w:widowControl w:val="0"/>
              <w:ind w:left="414" w:hanging="272"/>
              <w:rPr>
                <w:rFonts w:cstheme="minorHAnsi"/>
                <w:sz w:val="20"/>
                <w:szCs w:val="20"/>
              </w:rPr>
            </w:pPr>
            <w:r w:rsidRPr="00B50464">
              <w:rPr>
                <w:rFonts w:cstheme="minorHAnsi"/>
                <w:sz w:val="20"/>
                <w:szCs w:val="20"/>
              </w:rPr>
              <w:t>a)</w:t>
            </w:r>
            <w:r w:rsidR="00705517" w:rsidRPr="00B50464">
              <w:rPr>
                <w:rFonts w:cstheme="minorHAnsi"/>
                <w:sz w:val="20"/>
                <w:szCs w:val="20"/>
              </w:rPr>
              <w:t xml:space="preserve"> </w:t>
            </w:r>
            <w:r w:rsidR="008A2642">
              <w:rPr>
                <w:rFonts w:cstheme="minorHAnsi"/>
                <w:sz w:val="20"/>
                <w:szCs w:val="20"/>
              </w:rPr>
              <w:tab/>
            </w:r>
            <w:r w:rsidR="00705517" w:rsidRPr="00B50464">
              <w:rPr>
                <w:rFonts w:cstheme="minorHAnsi"/>
                <w:sz w:val="20"/>
                <w:szCs w:val="20"/>
              </w:rPr>
              <w:t>štátny sektor, ktorý tvorí Slovenská akadémia vied a právnické osoby uskutočňujúce výskum a vývoj zriadené ústrednými orgánmi štátnej sprá</w:t>
            </w:r>
            <w:r w:rsidR="00487DEF" w:rsidRPr="00B50464">
              <w:rPr>
                <w:rFonts w:cstheme="minorHAnsi"/>
                <w:sz w:val="20"/>
                <w:szCs w:val="20"/>
              </w:rPr>
              <w:t>vy</w:t>
            </w:r>
          </w:p>
          <w:p w14:paraId="063F41DA" w14:textId="03EF59AC" w:rsidR="007F204A" w:rsidRPr="008A2642" w:rsidRDefault="00487DEF" w:rsidP="00B50464">
            <w:pPr>
              <w:widowControl w:val="0"/>
              <w:ind w:left="414" w:hanging="272"/>
              <w:rPr>
                <w:rFonts w:cstheme="minorHAnsi"/>
                <w:sz w:val="20"/>
                <w:szCs w:val="20"/>
              </w:rPr>
            </w:pPr>
            <w:r w:rsidRPr="008A2642">
              <w:rPr>
                <w:rFonts w:cstheme="minorHAnsi"/>
                <w:sz w:val="20"/>
                <w:szCs w:val="20"/>
              </w:rPr>
              <w:t>b</w:t>
            </w:r>
            <w:r w:rsidR="0029102A" w:rsidRPr="008A2642">
              <w:rPr>
                <w:rFonts w:cstheme="minorHAnsi"/>
                <w:sz w:val="20"/>
                <w:szCs w:val="20"/>
              </w:rPr>
              <w:t>)</w:t>
            </w:r>
            <w:r w:rsidR="008A2642">
              <w:rPr>
                <w:rFonts w:cstheme="minorHAnsi"/>
                <w:sz w:val="20"/>
                <w:szCs w:val="20"/>
              </w:rPr>
              <w:tab/>
            </w:r>
            <w:r w:rsidR="00705517" w:rsidRPr="008A2642">
              <w:rPr>
                <w:rFonts w:cstheme="minorHAnsi"/>
                <w:sz w:val="20"/>
                <w:szCs w:val="20"/>
              </w:rPr>
              <w:t>sektor verejných výskumných inštitúcií, ktorý tvor</w:t>
            </w:r>
            <w:r w:rsidR="002A31FD" w:rsidRPr="008A2642">
              <w:rPr>
                <w:rFonts w:cstheme="minorHAnsi"/>
                <w:sz w:val="20"/>
                <w:szCs w:val="20"/>
              </w:rPr>
              <w:t>ia verejné výskumné inštitúcie</w:t>
            </w:r>
            <w:r w:rsidR="002A31FD" w:rsidRPr="008A2642">
              <w:rPr>
                <w:rFonts w:cstheme="minorHAnsi"/>
                <w:sz w:val="20"/>
                <w:szCs w:val="20"/>
                <w:vertAlign w:val="superscript"/>
              </w:rPr>
              <w:footnoteReference w:id="4"/>
            </w:r>
          </w:p>
          <w:p w14:paraId="32929F39" w14:textId="104FDBED" w:rsidR="00705517" w:rsidRPr="008A2642" w:rsidRDefault="0029102A" w:rsidP="00B50464">
            <w:pPr>
              <w:widowControl w:val="0"/>
              <w:ind w:left="414" w:hanging="272"/>
              <w:rPr>
                <w:rFonts w:cstheme="minorHAnsi"/>
                <w:sz w:val="20"/>
                <w:szCs w:val="20"/>
              </w:rPr>
            </w:pPr>
            <w:r w:rsidRPr="008A2642">
              <w:rPr>
                <w:rFonts w:cstheme="minorHAnsi"/>
                <w:sz w:val="20"/>
                <w:szCs w:val="20"/>
              </w:rPr>
              <w:t>c)</w:t>
            </w:r>
            <w:r w:rsidR="008A2642">
              <w:rPr>
                <w:rFonts w:cstheme="minorHAnsi"/>
                <w:sz w:val="20"/>
                <w:szCs w:val="20"/>
              </w:rPr>
              <w:tab/>
            </w:r>
            <w:r w:rsidR="00705517" w:rsidRPr="008A2642">
              <w:rPr>
                <w:rFonts w:cstheme="minorHAnsi"/>
                <w:sz w:val="20"/>
                <w:szCs w:val="20"/>
              </w:rPr>
              <w:t>sektor vysokých škôl, ktorý tvoria verejné vysoké</w:t>
            </w:r>
            <w:r w:rsidR="007F204A" w:rsidRPr="008A2642">
              <w:rPr>
                <w:rFonts w:cstheme="minorHAnsi"/>
                <w:sz w:val="20"/>
                <w:szCs w:val="20"/>
              </w:rPr>
              <w:t xml:space="preserve"> </w:t>
            </w:r>
            <w:r w:rsidR="00705517" w:rsidRPr="008A2642">
              <w:rPr>
                <w:rFonts w:cstheme="minorHAnsi"/>
                <w:sz w:val="20"/>
                <w:szCs w:val="20"/>
              </w:rPr>
              <w:t>školy, štátne vysoké školy, súkromné vysoké</w:t>
            </w:r>
            <w:r w:rsidR="007F204A" w:rsidRPr="008A2642">
              <w:rPr>
                <w:rFonts w:cstheme="minorHAnsi"/>
                <w:sz w:val="20"/>
                <w:szCs w:val="20"/>
              </w:rPr>
              <w:t xml:space="preserve"> </w:t>
            </w:r>
            <w:r w:rsidR="00705517" w:rsidRPr="008A2642">
              <w:rPr>
                <w:rFonts w:cstheme="minorHAnsi"/>
                <w:sz w:val="20"/>
                <w:szCs w:val="20"/>
              </w:rPr>
              <w:t>školy a nimi založené právnické osoby</w:t>
            </w:r>
            <w:r w:rsidR="007F204A" w:rsidRPr="008A2642">
              <w:rPr>
                <w:rFonts w:cstheme="minorHAnsi"/>
                <w:sz w:val="20"/>
                <w:szCs w:val="20"/>
              </w:rPr>
              <w:t xml:space="preserve"> </w:t>
            </w:r>
            <w:r w:rsidR="00705517" w:rsidRPr="008A2642">
              <w:rPr>
                <w:rFonts w:cstheme="minorHAnsi"/>
                <w:sz w:val="20"/>
                <w:szCs w:val="20"/>
              </w:rPr>
              <w:t>uskutočňujúce výskum a</w:t>
            </w:r>
            <w:r w:rsidRPr="008A2642">
              <w:rPr>
                <w:rFonts w:cstheme="minorHAnsi"/>
                <w:sz w:val="20"/>
                <w:szCs w:val="20"/>
              </w:rPr>
              <w:t> </w:t>
            </w:r>
            <w:r w:rsidR="00705517" w:rsidRPr="008A2642">
              <w:rPr>
                <w:rFonts w:cstheme="minorHAnsi"/>
                <w:sz w:val="20"/>
                <w:szCs w:val="20"/>
              </w:rPr>
              <w:t>vývoj</w:t>
            </w:r>
          </w:p>
          <w:p w14:paraId="3F7CE208" w14:textId="62B4CEAA" w:rsidR="008D1E09" w:rsidRPr="008A2642" w:rsidRDefault="00667BCD" w:rsidP="00B50464">
            <w:pPr>
              <w:widowControl w:val="0"/>
              <w:ind w:left="414" w:hanging="272"/>
              <w:rPr>
                <w:rFonts w:cstheme="minorHAnsi"/>
                <w:sz w:val="20"/>
                <w:szCs w:val="20"/>
              </w:rPr>
            </w:pPr>
            <w:r w:rsidRPr="00B50464">
              <w:rPr>
                <w:rFonts w:cstheme="minorHAnsi"/>
                <w:sz w:val="20"/>
                <w:szCs w:val="20"/>
              </w:rPr>
              <w:t>d)</w:t>
            </w:r>
            <w:r w:rsidR="008A2642">
              <w:rPr>
                <w:rFonts w:cstheme="minorHAnsi"/>
                <w:sz w:val="20"/>
                <w:szCs w:val="20"/>
              </w:rPr>
              <w:tab/>
            </w:r>
            <w:r w:rsidRPr="00B50464">
              <w:rPr>
                <w:rFonts w:cstheme="minorHAnsi"/>
                <w:sz w:val="20"/>
                <w:szCs w:val="20"/>
              </w:rPr>
              <w:t>neziskový sektor, ktorý tvoria občianske združenia, neziskové organizácie, združenia právnických osôb uskutočňujúce výskum a vývoj</w:t>
            </w:r>
          </w:p>
          <w:p w14:paraId="7B3E7EA0" w14:textId="4D69391B" w:rsidR="00705517" w:rsidRPr="008A2642" w:rsidRDefault="00667BCD" w:rsidP="00B50464">
            <w:pPr>
              <w:widowControl w:val="0"/>
              <w:ind w:left="414" w:hanging="272"/>
              <w:rPr>
                <w:rFonts w:cstheme="minorHAnsi"/>
                <w:sz w:val="20"/>
                <w:szCs w:val="20"/>
              </w:rPr>
            </w:pPr>
            <w:r w:rsidRPr="008A2642">
              <w:rPr>
                <w:rFonts w:cstheme="minorHAnsi"/>
                <w:sz w:val="20"/>
                <w:szCs w:val="20"/>
              </w:rPr>
              <w:t>e)</w:t>
            </w:r>
            <w:r w:rsidR="008A2642">
              <w:rPr>
                <w:rFonts w:cstheme="minorHAnsi"/>
                <w:sz w:val="20"/>
                <w:szCs w:val="20"/>
              </w:rPr>
              <w:tab/>
            </w:r>
            <w:r w:rsidR="0029102A" w:rsidRPr="008A2642">
              <w:rPr>
                <w:rFonts w:cstheme="minorHAnsi"/>
                <w:sz w:val="20"/>
                <w:szCs w:val="20"/>
              </w:rPr>
              <w:t>podnikateľský sektor, ktorý tvoria podnikatelia, ktorí v rámci svojich podnikateľských činností uskutočňujú aj výskum a vývoj (</w:t>
            </w:r>
            <w:proofErr w:type="spellStart"/>
            <w:r w:rsidR="0029102A" w:rsidRPr="008A2642">
              <w:rPr>
                <w:rFonts w:cstheme="minorHAnsi"/>
                <w:sz w:val="20"/>
                <w:szCs w:val="20"/>
              </w:rPr>
              <w:t>mikro</w:t>
            </w:r>
            <w:proofErr w:type="spellEnd"/>
            <w:r w:rsidR="0029102A" w:rsidRPr="008A2642">
              <w:rPr>
                <w:rFonts w:cstheme="minorHAnsi"/>
                <w:sz w:val="20"/>
                <w:szCs w:val="20"/>
              </w:rPr>
              <w:t>, malé a stredné podniky, tzv. MSP; veľké podniky)</w:t>
            </w:r>
            <w:r w:rsidR="007C0FBF">
              <w:rPr>
                <w:rFonts w:cstheme="minorHAnsi"/>
                <w:sz w:val="20"/>
                <w:szCs w:val="20"/>
              </w:rPr>
              <w:t xml:space="preserve"> – iba pre cieľ 2 výzvy</w:t>
            </w:r>
            <w:r w:rsidR="007C0FBF">
              <w:rPr>
                <w:rStyle w:val="Odkaznapoznmkupodiarou"/>
                <w:rFonts w:cstheme="minorHAnsi"/>
                <w:sz w:val="20"/>
                <w:szCs w:val="20"/>
              </w:rPr>
              <w:footnoteReference w:id="5"/>
            </w:r>
            <w:r w:rsidR="0029102A" w:rsidRPr="008A2642">
              <w:rPr>
                <w:rFonts w:cstheme="minorHAnsi"/>
                <w:sz w:val="20"/>
                <w:szCs w:val="20"/>
              </w:rPr>
              <w:t>.</w:t>
            </w:r>
          </w:p>
          <w:p w14:paraId="30A768F6" w14:textId="508AB3C1" w:rsidR="00705517" w:rsidRPr="00747EEB" w:rsidRDefault="00705517" w:rsidP="00705517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Oprávnenými žiadateľmi sú výlučne právnické osoby s prideleným identifikačným číslom (IČO) podľa zákona č. 272/2015 Z. z. o registri právnických osôb, podnikateľov a orgánov verejnej moci a o zmene a doplnení niektorých zákonov.</w:t>
            </w:r>
            <w:r w:rsidR="00667BCD"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1C3DDEF" w14:textId="77777777" w:rsidR="00667BCD" w:rsidRPr="00747EEB" w:rsidRDefault="00667BCD" w:rsidP="00667BCD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Ak je osoba konajúca v mene oprávneného subjektu odlišná od štatutárneho orgánu subjektu, musí byť riadne splnomocnená na výkon predmetných úloh.</w:t>
            </w:r>
          </w:p>
          <w:p w14:paraId="3CC602FB" w14:textId="0D8417BE" w:rsidR="00D3052E" w:rsidRDefault="00D3052E" w:rsidP="00667BCD">
            <w:pPr>
              <w:spacing w:after="12"/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Špecifické podmienky oprávnenosti/partnerstva:</w:t>
            </w:r>
          </w:p>
          <w:p w14:paraId="4D542789" w14:textId="58C0A97B" w:rsidR="00D3052E" w:rsidRDefault="00D3052E" w:rsidP="00667BCD">
            <w:pPr>
              <w:spacing w:after="12"/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Cieľ 1 výzvy: </w:t>
            </w:r>
            <w:r w:rsidRPr="00684468">
              <w:rPr>
                <w:b/>
                <w:sz w:val="20"/>
                <w:szCs w:val="20"/>
              </w:rPr>
              <w:t>podpora vytvorenia</w:t>
            </w:r>
            <w:r w:rsidR="00507E56">
              <w:rPr>
                <w:b/>
                <w:sz w:val="20"/>
                <w:szCs w:val="20"/>
              </w:rPr>
              <w:t xml:space="preserve"> harmonizovaného</w:t>
            </w:r>
            <w:r w:rsidRPr="00684468">
              <w:rPr>
                <w:b/>
                <w:sz w:val="20"/>
                <w:szCs w:val="20"/>
              </w:rPr>
              <w:t xml:space="preserve"> národného systémového prostredia</w:t>
            </w:r>
            <w:r w:rsidR="00507E56">
              <w:rPr>
                <w:b/>
                <w:sz w:val="20"/>
                <w:szCs w:val="20"/>
              </w:rPr>
              <w:t xml:space="preserve"> pre výskumné </w:t>
            </w:r>
            <w:proofErr w:type="spellStart"/>
            <w:r w:rsidR="00507E56">
              <w:rPr>
                <w:b/>
                <w:sz w:val="20"/>
                <w:szCs w:val="20"/>
              </w:rPr>
              <w:t>biobankovanie</w:t>
            </w:r>
            <w:proofErr w:type="spellEnd"/>
            <w:r w:rsidR="0031699B">
              <w:rPr>
                <w:b/>
                <w:sz w:val="20"/>
                <w:szCs w:val="20"/>
              </w:rPr>
              <w:t>:</w:t>
            </w:r>
          </w:p>
          <w:p w14:paraId="4712DFD4" w14:textId="218A6D90" w:rsidR="00D3052E" w:rsidRPr="0031699B" w:rsidRDefault="00D3052E" w:rsidP="00D3052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predložená v rámci cieľa 1 výzvy bude musieť byť tvorená žiadateľom a minimálne </w:t>
            </w:r>
            <w:r w:rsidR="00507E5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partnermi. Žiadateľ/partner musia byť inštitúcie, ktoré majú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už existujúce </w:t>
            </w:r>
            <w:proofErr w:type="spellStart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biobankové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zar</w:t>
            </w:r>
            <w:r w:rsidR="00771DCF" w:rsidRPr="00771DC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adenia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Pri predložení </w:t>
            </w:r>
            <w:proofErr w:type="spellStart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sa bude vyžadovať predložiť potvrdenie/čestné vyhlásenie o existujúcom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schválen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SVALZ</w:t>
            </w:r>
            <w:r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6"/>
            </w:r>
            <w:r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bookmarkStart w:id="5" w:name="_Hlk177046124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podľa zákona č. 576/2004 </w:t>
            </w:r>
            <w:proofErr w:type="spellStart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o zdravotnej starostlivosti, službách súvisiacich s poskytovaním zdravotnej starostlivosti a o zmene a doplnení niektorých zákonov) alebo 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tkanivového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zariadeni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(podľa zákona č. 317/2016 </w:t>
            </w:r>
            <w:proofErr w:type="spellStart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End w:id="5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o požiadavkách a postupoch pri odbere a transplantácii ľudského orgánu, ľudského tkaniva a ľudských buniek a o zmene a doplnení niektorých zákonov - transplantačný zákon)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V prípade, že žiadateľ/partner týmto nedisponuje, predloží čestné vyhlásenie so záväzkom, že 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schválenie bud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mať najneskôr 18 mesiacov od dátumu účinnosti zmluvy o NFP. 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>Pre žiadateľa/partnera, ktorý túto podmienku bude plniť najneskôr 18 mesiacov od dátumu účinnosti zmluvy o</w:t>
            </w:r>
            <w:r w:rsidR="00811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>NFP</w:t>
            </w:r>
            <w:r w:rsidR="0081173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je možné schválenie/povolenie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SVALZ/tkanivové zariadenie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nahradiť aj schválením/povolením, resp. iným úkonom</w:t>
            </w:r>
            <w:r w:rsidR="00771DCF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podľa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v tej dobe platnej legislatívy/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osobitnej legislatívy upravujúcej </w:t>
            </w:r>
            <w:proofErr w:type="spellStart"/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>biobankov</w:t>
            </w:r>
            <w:r w:rsidR="00771DCF" w:rsidRPr="00771DC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31699B" w:rsidRPr="00771D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Slovensku, v prípade že v tom čase takáto legislatíva bude platná a účinná.</w:t>
            </w:r>
            <w:r w:rsidR="0031699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8385065" w14:textId="77777777" w:rsidR="00D3052E" w:rsidRDefault="00D3052E" w:rsidP="00667BCD">
            <w:pPr>
              <w:spacing w:after="12"/>
              <w:ind w:left="2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FFA74CA" w14:textId="5699F910" w:rsidR="0031699B" w:rsidRDefault="00D3052E" w:rsidP="0031699B">
            <w:pPr>
              <w:spacing w:after="12"/>
              <w:ind w:left="29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Cieľ 2 výzvy: </w:t>
            </w:r>
            <w:r w:rsidRPr="00684468">
              <w:rPr>
                <w:b/>
                <w:sz w:val="20"/>
                <w:szCs w:val="20"/>
              </w:rPr>
              <w:t xml:space="preserve">podpora vytvorenia </w:t>
            </w:r>
            <w:r w:rsidR="00507E56">
              <w:rPr>
                <w:b/>
                <w:sz w:val="20"/>
                <w:szCs w:val="20"/>
              </w:rPr>
              <w:t xml:space="preserve">funkčnej </w:t>
            </w:r>
            <w:r w:rsidR="00507E56" w:rsidRPr="00684468">
              <w:rPr>
                <w:b/>
                <w:sz w:val="20"/>
                <w:szCs w:val="20"/>
              </w:rPr>
              <w:t xml:space="preserve">distribuovanej výskumno-vývojovej </w:t>
            </w:r>
            <w:proofErr w:type="spellStart"/>
            <w:r w:rsidR="00507E56" w:rsidRPr="00684468">
              <w:rPr>
                <w:b/>
                <w:sz w:val="20"/>
                <w:szCs w:val="20"/>
              </w:rPr>
              <w:t>biobankovej</w:t>
            </w:r>
            <w:proofErr w:type="spellEnd"/>
            <w:r w:rsidR="00507E56">
              <w:rPr>
                <w:b/>
                <w:sz w:val="20"/>
                <w:szCs w:val="20"/>
              </w:rPr>
              <w:t xml:space="preserve"> siete</w:t>
            </w:r>
            <w:r w:rsidR="0031699B">
              <w:rPr>
                <w:b/>
                <w:sz w:val="20"/>
                <w:szCs w:val="20"/>
              </w:rPr>
              <w:t>:</w:t>
            </w:r>
            <w:r w:rsidRPr="00684468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0F917428" w14:textId="77777777" w:rsidR="0031699B" w:rsidRDefault="0031699B" w:rsidP="0031699B">
            <w:pPr>
              <w:spacing w:after="12"/>
              <w:ind w:left="29"/>
              <w:rPr>
                <w:bCs/>
                <w:sz w:val="20"/>
                <w:szCs w:val="20"/>
              </w:rPr>
            </w:pPr>
          </w:p>
          <w:p w14:paraId="66905109" w14:textId="7C3749AC" w:rsidR="004A1432" w:rsidRPr="0031699B" w:rsidRDefault="00D3052E" w:rsidP="004A1432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Cs/>
                <w:sz w:val="20"/>
                <w:szCs w:val="20"/>
              </w:rPr>
              <w:t>ŽoNFP</w:t>
            </w:r>
            <w:proofErr w:type="spellEnd"/>
            <w:r w:rsidR="0031699B">
              <w:rPr>
                <w:bCs/>
                <w:sz w:val="20"/>
                <w:szCs w:val="20"/>
              </w:rPr>
              <w:t xml:space="preserve"> predložená</w:t>
            </w:r>
            <w:r>
              <w:rPr>
                <w:bCs/>
                <w:sz w:val="20"/>
                <w:szCs w:val="20"/>
              </w:rPr>
              <w:t xml:space="preserve"> v rámci cieľa 2a.) - podpora ďalšieho rozvoja existujúcich </w:t>
            </w:r>
            <w:proofErr w:type="spellStart"/>
            <w:r>
              <w:rPr>
                <w:bCs/>
                <w:sz w:val="20"/>
                <w:szCs w:val="20"/>
              </w:rPr>
              <w:t>biobánk</w:t>
            </w:r>
            <w:proofErr w:type="spellEnd"/>
            <w:r w:rsidR="0031699B">
              <w:rPr>
                <w:bCs/>
                <w:sz w:val="20"/>
                <w:szCs w:val="20"/>
              </w:rPr>
              <w:t xml:space="preserve"> – musí byť </w:t>
            </w:r>
            <w:r w:rsidR="0031699B" w:rsidRPr="00771DCF">
              <w:rPr>
                <w:bCs/>
                <w:sz w:val="20"/>
                <w:szCs w:val="20"/>
              </w:rPr>
              <w:t xml:space="preserve">predložená žiadateľom, pričom partnerstvo je možné ale nie je povinné. </w:t>
            </w:r>
            <w:r w:rsidR="00CC250A" w:rsidRPr="00771DCF">
              <w:rPr>
                <w:bCs/>
                <w:sz w:val="20"/>
                <w:szCs w:val="20"/>
              </w:rPr>
              <w:t>Od žiadateľa/partnera sa p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ri predložení </w:t>
            </w:r>
            <w:proofErr w:type="spellStart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bude vyžadovať predložiť potvrdenie/čestné vyhlásenie o existujúcom schválení SVALZ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(podľa zákona č. 576/2004 </w:t>
            </w:r>
            <w:proofErr w:type="spellStart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o zdravotnej starostlivosti, službách súvisiacich s poskytovaním zdravotnej starostlivosti a o zmene a doplnení niektorých zákonov) alebo tkanivového zariadenia (podľa zákona č. 317/2016 </w:t>
            </w:r>
            <w:proofErr w:type="spellStart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="00CC250A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o požiadavkách a postupoch pri odbere a transplantácii ľudského orgánu, ľudského tkaniva a ľudských buniek a o zmene a doplnení niektorých zákonov - transplantačný zákon). V prípade, že žiadateľ/partner týmto nedisponuje, predloží čestné vyhlásenie so záväzkom, že schválenie bude mať najneskôr 18 mesiacov od dátumu účinnosti zmluvy o NFP. 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Pre žiadateľa/partnera, ktorý túto podmienku bude plniť najneskôr 18 mesiacov od dátumu účinnosti zmluvy o NFP je možné schválenie/povolenie SVALZ/tkanivové zariadenie nahradiť aj schválením/povolením, resp. iným úkonom podľa v tej dobe platnej legislatívy/osobitnej legislatívy upravujúcej </w:t>
            </w:r>
            <w:proofErr w:type="spellStart"/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biobankov</w:t>
            </w:r>
            <w:r w:rsidR="00771DCF" w:rsidRPr="00771DC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na Slovensku, v prípade že v tom čase takáto legislatíva bude platná a účinná.</w:t>
            </w:r>
            <w:r w:rsidR="004A1432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61308155" w14:textId="29DFF152" w:rsidR="0031699B" w:rsidRPr="004A1432" w:rsidRDefault="0031699B" w:rsidP="0031699B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 xml:space="preserve">V rámci cieľa 2a.) je možné predložiť </w:t>
            </w:r>
            <w:proofErr w:type="spellStart"/>
            <w:r>
              <w:rPr>
                <w:bCs/>
                <w:sz w:val="20"/>
                <w:szCs w:val="20"/>
              </w:rPr>
              <w:t>ŽoNFP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771DCF">
              <w:rPr>
                <w:bCs/>
                <w:sz w:val="20"/>
                <w:szCs w:val="20"/>
              </w:rPr>
              <w:t xml:space="preserve">zameranú na digitálnu </w:t>
            </w:r>
            <w:proofErr w:type="spellStart"/>
            <w:r w:rsidRPr="00771DCF">
              <w:rPr>
                <w:bCs/>
                <w:sz w:val="20"/>
                <w:szCs w:val="20"/>
              </w:rPr>
              <w:t>biobanku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– pričom na žiadateľa takejto </w:t>
            </w: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sa neuplatňuje požiadavka na povolenie/schválenie v zmysle vyššie uvedenej legislatívy. Takáto </w:t>
            </w: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musí byť predložená žiadateľom, pričom partnerstvo je možné, ale nie je povinné. Žiadateľ musí ako povinnú prílohu k </w:t>
            </w: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predložiť podpísané zmluvy o spolupráci pri vytvorení digitálnej </w:t>
            </w:r>
            <w:proofErr w:type="spellStart"/>
            <w:r w:rsidRPr="00771DCF">
              <w:rPr>
                <w:bCs/>
                <w:sz w:val="20"/>
                <w:szCs w:val="20"/>
              </w:rPr>
              <w:t>biobanky</w:t>
            </w:r>
            <w:proofErr w:type="spellEnd"/>
            <w:r w:rsidR="004A1432" w:rsidRPr="00771DCF">
              <w:rPr>
                <w:bCs/>
                <w:sz w:val="20"/>
                <w:szCs w:val="20"/>
              </w:rPr>
              <w:t xml:space="preserve"> </w:t>
            </w:r>
            <w:r w:rsidR="00771DCF" w:rsidRPr="00771DCF">
              <w:rPr>
                <w:bCs/>
                <w:sz w:val="20"/>
                <w:szCs w:val="20"/>
              </w:rPr>
              <w:t>a</w:t>
            </w:r>
            <w:r w:rsidR="004A1432" w:rsidRPr="00771DCF">
              <w:rPr>
                <w:bCs/>
                <w:sz w:val="20"/>
                <w:szCs w:val="20"/>
              </w:rPr>
              <w:t> jej pravidelnom napĺňaní</w:t>
            </w:r>
            <w:r w:rsidRPr="00771DCF">
              <w:rPr>
                <w:bCs/>
                <w:sz w:val="20"/>
                <w:szCs w:val="20"/>
              </w:rPr>
              <w:t xml:space="preserve"> s minimálne </w:t>
            </w:r>
            <w:r w:rsidR="00771DCF" w:rsidRPr="00771DCF">
              <w:rPr>
                <w:bCs/>
                <w:sz w:val="20"/>
                <w:szCs w:val="20"/>
              </w:rPr>
              <w:t>2</w:t>
            </w:r>
            <w:r w:rsidRPr="00771DCF">
              <w:rPr>
                <w:bCs/>
                <w:sz w:val="20"/>
                <w:szCs w:val="20"/>
              </w:rPr>
              <w:t xml:space="preserve"> inštitúciami, ktoré už v čase predloženia </w:t>
            </w: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majú zaradenia, ktoré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v čase predloženia </w:t>
            </w:r>
            <w:proofErr w:type="spellStart"/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majú schválenie SVALZ</w:t>
            </w:r>
            <w:r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8"/>
            </w:r>
            <w:r w:rsidRPr="00771DC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(podľa zákona č. 576/2004 </w:t>
            </w:r>
            <w:proofErr w:type="spellStart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. o zdravotnej starostlivosti, službách súvisiacich s poskytovaním zdravotnej starostlivosti a o zmene a doplnení niektorých zákonov) alebo tkanivové zariadenie (podľa zákona č. 317/2016 </w:t>
            </w:r>
            <w:proofErr w:type="spellStart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sz w:val="20"/>
                <w:szCs w:val="20"/>
              </w:rPr>
              <w:t>. o požiadavkách a postupoch pri odbere a transplantácii ľudského orgánu, ľudského tkaniva a ľudských buniek a o zmene a doplnení niektorých zákonov - transplantačný zákon)</w:t>
            </w:r>
            <w:r w:rsidR="00FD2856" w:rsidRPr="00771DC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771DCF">
              <w:rPr>
                <w:bCs/>
                <w:sz w:val="20"/>
                <w:szCs w:val="20"/>
              </w:rPr>
              <w:t xml:space="preserve"> Oprávneným partnerom v rámci takejto </w:t>
            </w: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môže byť len inštitúcia, </w:t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>ktor</w:t>
            </w:r>
            <w:r w:rsidR="00BF39B7">
              <w:rPr>
                <w:rFonts w:asciiTheme="minorHAnsi" w:hAnsiTheme="minorHAnsi" w:cstheme="minorHAnsi"/>
                <w:bCs/>
                <w:sz w:val="20"/>
                <w:szCs w:val="20"/>
              </w:rPr>
              <w:t>á</w:t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</w:t>
            </w:r>
            <w:r w:rsidR="00BF39B7">
              <w:rPr>
                <w:rFonts w:asciiTheme="minorHAnsi" w:hAnsiTheme="minorHAnsi" w:cstheme="minorHAnsi"/>
                <w:bCs/>
                <w:sz w:val="20"/>
                <w:szCs w:val="20"/>
              </w:rPr>
              <w:t>á</w:t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zaradenia, ktoré majú schválenie SVALZ</w:t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footnoteReference w:id="9"/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 xml:space="preserve"> </w:t>
            </w:r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(podľa zákona č. 576/2004 </w:t>
            </w:r>
            <w:proofErr w:type="spellStart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o zdravotnej starostlivosti, službách súvisiacich s poskytovaním zdravotnej starostlivosti a o zmene a doplnení niektorých zákonov) alebo tkanivové zariadenie (podľa zákona č. 317/2016 </w:t>
            </w:r>
            <w:proofErr w:type="spellStart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>Z.z</w:t>
            </w:r>
            <w:proofErr w:type="spellEnd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o požiadavkách a postupoch pri odbere a transplantácii ľudského orgánu, ľudského tkaniva a ľudských buniek a o zmene a doplnení niektorých zákonov - transplantačný zákon) a venujú sa </w:t>
            </w:r>
            <w:proofErr w:type="spellStart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>biobankovému</w:t>
            </w:r>
            <w:proofErr w:type="spellEnd"/>
            <w:r w:rsidRPr="00771D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výskumu, alebo takéto schválenie budú mať najneskôr 18 mesiacov od dátumu účinnosti zmluvy o NFP. 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Pre partnera, ktorý túto podmienku bude plniť najneskôr 18 mesiacov od dátumu účinnosti zmluvy o</w:t>
            </w:r>
            <w:r w:rsidR="00BF39B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NFP</w:t>
            </w:r>
            <w:r w:rsidR="00BF39B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je možné schválenie/povolenie SVALZ/tkanivové zariadenie nahradiť aj schválením/povolením, resp. iným úkonom aj podľa v tej dobe platnej legislatívy/osobitnej legislatívy upravujúcej </w:t>
            </w:r>
            <w:proofErr w:type="spellStart"/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biobankov</w:t>
            </w:r>
            <w:r w:rsidR="00771DCF" w:rsidRPr="00771DC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4A1432" w:rsidRPr="00771DCF">
              <w:rPr>
                <w:rFonts w:asciiTheme="minorHAnsi" w:hAnsiTheme="minorHAnsi" w:cstheme="minorHAnsi"/>
                <w:sz w:val="20"/>
                <w:szCs w:val="20"/>
              </w:rPr>
              <w:t xml:space="preserve"> na Slovensku, v prípade že v tom čase takáto legislatíva bude platná a účinná.</w:t>
            </w:r>
            <w:r w:rsidRPr="004A143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38E77354" w14:textId="66704796" w:rsidR="00D3052E" w:rsidRPr="00FD2856" w:rsidRDefault="00D3052E" w:rsidP="00FD2856">
            <w:pPr>
              <w:spacing w:after="12"/>
              <w:ind w:left="29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Pr="00771DCF">
              <w:rPr>
                <w:bCs/>
                <w:sz w:val="20"/>
                <w:szCs w:val="20"/>
              </w:rPr>
              <w:t xml:space="preserve"> </w:t>
            </w:r>
            <w:r w:rsidR="00FD2856" w:rsidRPr="00771DCF">
              <w:rPr>
                <w:bCs/>
                <w:sz w:val="20"/>
                <w:szCs w:val="20"/>
              </w:rPr>
              <w:t xml:space="preserve">predložená </w:t>
            </w:r>
            <w:r w:rsidRPr="00771DCF">
              <w:rPr>
                <w:bCs/>
                <w:sz w:val="20"/>
                <w:szCs w:val="20"/>
              </w:rPr>
              <w:t xml:space="preserve">v rámci cieľa 2b.) - podpora zriadenia nových </w:t>
            </w:r>
            <w:proofErr w:type="spellStart"/>
            <w:r w:rsidRPr="00771DCF">
              <w:rPr>
                <w:bCs/>
                <w:sz w:val="20"/>
                <w:szCs w:val="20"/>
              </w:rPr>
              <w:t>biobánk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 xml:space="preserve"> – je zameraná na zriadenie novej </w:t>
            </w:r>
            <w:proofErr w:type="spellStart"/>
            <w:r w:rsidR="00FD2856" w:rsidRPr="00771DCF">
              <w:rPr>
                <w:bCs/>
                <w:sz w:val="20"/>
                <w:szCs w:val="20"/>
              </w:rPr>
              <w:t>biobanky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 xml:space="preserve">, pričom je predložená žiadateľom a partnerstvo je možné, ale nie je povinné. </w:t>
            </w:r>
            <w:r w:rsidRPr="00771DCF">
              <w:rPr>
                <w:bCs/>
                <w:sz w:val="20"/>
                <w:szCs w:val="20"/>
              </w:rPr>
              <w:t xml:space="preserve"> </w:t>
            </w:r>
            <w:r w:rsidR="00FD2856" w:rsidRPr="00771DCF">
              <w:rPr>
                <w:bCs/>
                <w:sz w:val="20"/>
                <w:szCs w:val="20"/>
              </w:rPr>
              <w:t xml:space="preserve">Žiadateľ sa v rámci predloženej </w:t>
            </w:r>
            <w:proofErr w:type="spellStart"/>
            <w:r w:rsidR="00FD2856" w:rsidRPr="00771DCF">
              <w:rPr>
                <w:bCs/>
                <w:sz w:val="20"/>
                <w:szCs w:val="20"/>
              </w:rPr>
              <w:t>ŽoNFP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 xml:space="preserve"> zaväzuje, že najneskôr 3 mesiace pre</w:t>
            </w:r>
            <w:r w:rsidR="00EB0434">
              <w:rPr>
                <w:bCs/>
                <w:sz w:val="20"/>
                <w:szCs w:val="20"/>
              </w:rPr>
              <w:t>d</w:t>
            </w:r>
            <w:r w:rsidR="00FD2856" w:rsidRPr="00771DCF">
              <w:rPr>
                <w:bCs/>
                <w:sz w:val="20"/>
                <w:szCs w:val="20"/>
              </w:rPr>
              <w:t xml:space="preserve"> ukončením implementácie projektu bude jeho </w:t>
            </w:r>
            <w:proofErr w:type="spellStart"/>
            <w:r w:rsidR="00FD2856" w:rsidRPr="00771DCF">
              <w:rPr>
                <w:bCs/>
                <w:sz w:val="20"/>
                <w:szCs w:val="20"/>
              </w:rPr>
              <w:t>biobankové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 xml:space="preserve"> zariadenie disponovať so schválením/povolením/začlenením sa do národnej distribuovanej </w:t>
            </w:r>
            <w:proofErr w:type="spellStart"/>
            <w:r w:rsidR="00FD2856" w:rsidRPr="00771DCF">
              <w:rPr>
                <w:bCs/>
                <w:sz w:val="20"/>
                <w:szCs w:val="20"/>
              </w:rPr>
              <w:t>biobankovej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 xml:space="preserve"> siete v zmysle v tom čase platnej legislatívy pre oblasť </w:t>
            </w:r>
            <w:proofErr w:type="spellStart"/>
            <w:r w:rsidR="00FD2856" w:rsidRPr="00771DCF">
              <w:rPr>
                <w:bCs/>
                <w:sz w:val="20"/>
                <w:szCs w:val="20"/>
              </w:rPr>
              <w:t>biobankovania</w:t>
            </w:r>
            <w:proofErr w:type="spellEnd"/>
            <w:r w:rsidR="00FD2856" w:rsidRPr="00771DCF">
              <w:rPr>
                <w:bCs/>
                <w:sz w:val="20"/>
                <w:szCs w:val="20"/>
              </w:rPr>
              <w:t>.</w:t>
            </w:r>
            <w:r w:rsidR="00FD2856" w:rsidRPr="00FD2856">
              <w:rPr>
                <w:bCs/>
                <w:sz w:val="20"/>
                <w:szCs w:val="20"/>
              </w:rPr>
              <w:t xml:space="preserve"> </w:t>
            </w:r>
          </w:p>
          <w:p w14:paraId="63455CB8" w14:textId="0DF35644" w:rsidR="00D3052E" w:rsidRDefault="00D3052E" w:rsidP="005D2B5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7AEB175" w14:textId="7A5F4032" w:rsidR="003D1E89" w:rsidRPr="0028486E" w:rsidRDefault="00FD2856" w:rsidP="0028486E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 rámci cieľa 2 môže predložiť </w:t>
            </w:r>
            <w:r w:rsidR="00EB0434">
              <w:rPr>
                <w:rFonts w:cstheme="minorHAnsi"/>
                <w:sz w:val="20"/>
                <w:szCs w:val="20"/>
              </w:rPr>
              <w:t>oprávnený subjekt</w:t>
            </w:r>
            <w:r>
              <w:rPr>
                <w:rFonts w:cstheme="minorHAnsi"/>
                <w:sz w:val="20"/>
                <w:szCs w:val="20"/>
              </w:rPr>
              <w:t xml:space="preserve"> v pozícii žiadateľa iba 1 </w:t>
            </w:r>
            <w:proofErr w:type="spellStart"/>
            <w:r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 </w:t>
            </w:r>
          </w:p>
        </w:tc>
      </w:tr>
      <w:tr w:rsidR="00FD2856" w14:paraId="320D16EA" w14:textId="77777777" w:rsidTr="00507E56"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5E41E2C" w14:textId="512F2DD4" w:rsidR="00FD2856" w:rsidRPr="0028486E" w:rsidRDefault="0028486E" w:rsidP="0028486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 xml:space="preserve">2. </w:t>
            </w:r>
            <w:r w:rsidR="00CC250A" w:rsidRPr="0028486E">
              <w:rPr>
                <w:rFonts w:cstheme="minorHAnsi"/>
                <w:b/>
                <w:sz w:val="20"/>
                <w:szCs w:val="20"/>
              </w:rPr>
              <w:t xml:space="preserve">Ďalšie požiadavky na predložené </w:t>
            </w:r>
            <w:proofErr w:type="spellStart"/>
            <w:r w:rsidR="00CC250A" w:rsidRPr="0028486E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9113C8" w:rsidRPr="0028486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FA0D" w14:textId="5C2BED6A" w:rsidR="00CC250A" w:rsidRDefault="00CC250A" w:rsidP="00153F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Tematické vymedzenie predložených projektov:</w:t>
            </w:r>
            <w:r w:rsidR="00153F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právnené tematické okruhy</w:t>
            </w:r>
            <w:r w:rsidR="004A1432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0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pre predložené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="00153F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rámci tejto výzvy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sú:</w:t>
            </w:r>
          </w:p>
          <w:p w14:paraId="424CFEDA" w14:textId="77777777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rPr>
                <w:rFonts w:cstheme="minorHAnsi"/>
                <w:sz w:val="20"/>
                <w:szCs w:val="20"/>
              </w:rPr>
            </w:pPr>
            <w:r w:rsidRPr="00CC250A">
              <w:rPr>
                <w:rFonts w:cstheme="minorHAnsi"/>
                <w:sz w:val="20"/>
                <w:szCs w:val="20"/>
              </w:rPr>
              <w:t xml:space="preserve">nádorové ochorenia </w:t>
            </w:r>
          </w:p>
          <w:p w14:paraId="1ED9B7C8" w14:textId="77777777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jc w:val="both"/>
              <w:rPr>
                <w:rFonts w:cstheme="minorHAnsi"/>
                <w:sz w:val="20"/>
                <w:szCs w:val="20"/>
              </w:rPr>
            </w:pPr>
            <w:r w:rsidRPr="00CC250A">
              <w:rPr>
                <w:rFonts w:cstheme="minorHAnsi"/>
                <w:sz w:val="20"/>
                <w:szCs w:val="20"/>
              </w:rPr>
              <w:t xml:space="preserve">ochorenia mozgu </w:t>
            </w:r>
          </w:p>
          <w:p w14:paraId="216C2B2E" w14:textId="77777777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jc w:val="both"/>
              <w:rPr>
                <w:rFonts w:cstheme="minorHAnsi"/>
                <w:sz w:val="20"/>
                <w:szCs w:val="20"/>
              </w:rPr>
            </w:pPr>
            <w:r w:rsidRPr="00CC250A">
              <w:rPr>
                <w:rFonts w:cstheme="minorHAnsi"/>
                <w:sz w:val="20"/>
                <w:szCs w:val="20"/>
              </w:rPr>
              <w:t xml:space="preserve">kardiovaskulárne ochorenia </w:t>
            </w:r>
          </w:p>
          <w:p w14:paraId="4DC14E0A" w14:textId="307D90E2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jc w:val="both"/>
              <w:rPr>
                <w:rFonts w:cstheme="minorHAnsi"/>
                <w:sz w:val="20"/>
                <w:szCs w:val="20"/>
              </w:rPr>
            </w:pPr>
            <w:r w:rsidRPr="00CC250A">
              <w:rPr>
                <w:rFonts w:cstheme="minorHAnsi"/>
                <w:sz w:val="20"/>
                <w:szCs w:val="20"/>
              </w:rPr>
              <w:t xml:space="preserve">metabolické ochorenia </w:t>
            </w:r>
          </w:p>
          <w:p w14:paraId="0BDBB6AB" w14:textId="77777777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CC250A">
              <w:rPr>
                <w:rFonts w:cstheme="minorHAnsi"/>
                <w:sz w:val="20"/>
                <w:szCs w:val="20"/>
              </w:rPr>
              <w:t>mikrobióm</w:t>
            </w:r>
            <w:proofErr w:type="spellEnd"/>
          </w:p>
          <w:p w14:paraId="06FB7A38" w14:textId="77777777" w:rsidR="00CC250A" w:rsidRPr="00CC250A" w:rsidRDefault="00CC250A">
            <w:pPr>
              <w:pStyle w:val="Odsekzoznamu"/>
              <w:numPr>
                <w:ilvl w:val="0"/>
                <w:numId w:val="4"/>
              </w:numPr>
              <w:spacing w:after="12"/>
              <w:jc w:val="both"/>
              <w:rPr>
                <w:rFonts w:cstheme="minorHAnsi"/>
                <w:sz w:val="20"/>
                <w:szCs w:val="20"/>
              </w:rPr>
            </w:pPr>
            <w:r w:rsidRPr="00CC250A">
              <w:rPr>
                <w:rFonts w:cstheme="minorHAnsi"/>
                <w:sz w:val="20"/>
                <w:szCs w:val="20"/>
              </w:rPr>
              <w:t>patogény</w:t>
            </w:r>
          </w:p>
          <w:p w14:paraId="701D9429" w14:textId="121BA65A" w:rsidR="00CC250A" w:rsidRDefault="00CC250A" w:rsidP="00153F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1EF744" w14:textId="5CE91A44" w:rsidR="00823308" w:rsidRDefault="00823308" w:rsidP="00153F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Harmonizované</w:t>
            </w:r>
            <w:r w:rsidRPr="00684468">
              <w:rPr>
                <w:b/>
                <w:sz w:val="20"/>
                <w:szCs w:val="20"/>
              </w:rPr>
              <w:t xml:space="preserve"> národn</w:t>
            </w:r>
            <w:r>
              <w:rPr>
                <w:b/>
                <w:sz w:val="20"/>
                <w:szCs w:val="20"/>
              </w:rPr>
              <w:t>é</w:t>
            </w:r>
            <w:r w:rsidRPr="00684468">
              <w:rPr>
                <w:b/>
                <w:sz w:val="20"/>
                <w:szCs w:val="20"/>
              </w:rPr>
              <w:t xml:space="preserve"> systém</w:t>
            </w:r>
            <w:r>
              <w:rPr>
                <w:b/>
                <w:sz w:val="20"/>
                <w:szCs w:val="20"/>
              </w:rPr>
              <w:t>ové</w:t>
            </w:r>
            <w:r w:rsidRPr="00684468">
              <w:rPr>
                <w:b/>
                <w:sz w:val="20"/>
                <w:szCs w:val="20"/>
              </w:rPr>
              <w:t xml:space="preserve"> prostredi</w:t>
            </w:r>
            <w:r>
              <w:rPr>
                <w:b/>
                <w:sz w:val="20"/>
                <w:szCs w:val="20"/>
              </w:rPr>
              <w:t xml:space="preserve">e pre výskumné </w:t>
            </w:r>
            <w:proofErr w:type="spellStart"/>
            <w:r>
              <w:rPr>
                <w:b/>
                <w:sz w:val="20"/>
                <w:szCs w:val="20"/>
              </w:rPr>
              <w:t>biobankovanie</w:t>
            </w:r>
            <w:proofErr w:type="spellEnd"/>
            <w:r>
              <w:rPr>
                <w:b/>
                <w:sz w:val="20"/>
                <w:szCs w:val="20"/>
              </w:rPr>
              <w:t xml:space="preserve"> musí metodicky pokrývať každú z vyššie uvedených oblastí, pričom </w:t>
            </w:r>
            <w:r w:rsidR="00EE228C">
              <w:rPr>
                <w:b/>
                <w:sz w:val="20"/>
                <w:szCs w:val="20"/>
              </w:rPr>
              <w:t>individuálne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biobanky</w:t>
            </w:r>
            <w:proofErr w:type="spellEnd"/>
            <w:r>
              <w:rPr>
                <w:b/>
                <w:sz w:val="20"/>
                <w:szCs w:val="20"/>
              </w:rPr>
              <w:t xml:space="preserve"> podporené v tejto výzve nemôžu byť zamerané na iné oblasti, ako sú vyššie uvedené. </w:t>
            </w:r>
          </w:p>
          <w:p w14:paraId="05F468EB" w14:textId="77777777" w:rsidR="00823308" w:rsidRDefault="00823308" w:rsidP="00153F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50E6893" w14:textId="0F398D0A" w:rsidR="00153FA3" w:rsidRDefault="00153FA3" w:rsidP="00153FA3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Špecifické požiadavky na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="00EE228C">
              <w:rPr>
                <w:rFonts w:asciiTheme="minorHAnsi" w:hAnsiTheme="minorHAnsi" w:cstheme="minorHAnsi"/>
                <w:b/>
                <w:sz w:val="20"/>
                <w:szCs w:val="20"/>
              </w:rPr>
              <w:t>, ktorá bude obsahovať aktivity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rámci cieľa 1 </w:t>
            </w:r>
            <w:r w:rsidRPr="00684468">
              <w:rPr>
                <w:b/>
                <w:sz w:val="20"/>
                <w:szCs w:val="20"/>
              </w:rPr>
              <w:t xml:space="preserve">podpora vytvorenia národného systémového </w:t>
            </w:r>
            <w:proofErr w:type="spellStart"/>
            <w:r w:rsidRPr="00684468">
              <w:rPr>
                <w:b/>
                <w:sz w:val="20"/>
                <w:szCs w:val="20"/>
              </w:rPr>
              <w:t>biobankového</w:t>
            </w:r>
            <w:proofErr w:type="spellEnd"/>
            <w:r w:rsidRPr="00684468">
              <w:rPr>
                <w:b/>
                <w:sz w:val="20"/>
                <w:szCs w:val="20"/>
              </w:rPr>
              <w:t xml:space="preserve"> prostredia</w:t>
            </w:r>
            <w:r>
              <w:rPr>
                <w:b/>
                <w:sz w:val="20"/>
                <w:szCs w:val="20"/>
              </w:rPr>
              <w:t xml:space="preserve"> (žiadateľ splnenie uvedených špecifických požiadaviek deklaruje vo formulári </w:t>
            </w:r>
            <w:proofErr w:type="spellStart"/>
            <w:r>
              <w:rPr>
                <w:b/>
                <w:sz w:val="20"/>
                <w:szCs w:val="20"/>
              </w:rPr>
              <w:t>ŽoNFP</w:t>
            </w:r>
            <w:proofErr w:type="spellEnd"/>
            <w:r>
              <w:rPr>
                <w:b/>
                <w:sz w:val="20"/>
                <w:szCs w:val="20"/>
              </w:rPr>
              <w:t xml:space="preserve"> a v opise projektu):</w:t>
            </w:r>
          </w:p>
          <w:p w14:paraId="26B45E14" w14:textId="77777777" w:rsidR="001C59EA" w:rsidRDefault="001C59EA" w:rsidP="00153FA3">
            <w:pPr>
              <w:jc w:val="both"/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0BDB8726" w14:textId="1E246896" w:rsidR="00153FA3" w:rsidRPr="00153FA3" w:rsidRDefault="00153FA3" w:rsidP="00153FA3">
            <w:pPr>
              <w:jc w:val="both"/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Povinné </w:t>
            </w:r>
            <w:r w:rsidR="001C59EA">
              <w:rPr>
                <w:rFonts w:eastAsia="Times New Roman" w:cstheme="minorHAnsi"/>
                <w:b/>
                <w:bCs/>
                <w:sz w:val="20"/>
                <w:szCs w:val="20"/>
              </w:rPr>
              <w:t>míľniky pri</w:t>
            </w:r>
            <w:r w:rsid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implementácii</w:t>
            </w: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predloženej </w:t>
            </w:r>
            <w:proofErr w:type="spellStart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7FDC6929" w14:textId="3665A66E" w:rsidR="00153FA3" w:rsidRPr="00153FA3" w:rsidRDefault="00F94165" w:rsidP="002D438E">
            <w:pPr>
              <w:contextualSpacing/>
              <w:jc w:val="both"/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Povinné míľniky týkajúce sa vytvorenia funkčného spôsobu koordinácie výskumného </w:t>
            </w: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biobankovania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 národnej úrovni</w:t>
            </w:r>
            <w:r w:rsidR="00153FA3"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3A6491DE" w14:textId="4F3E9978" w:rsidR="00153FA3" w:rsidRDefault="00153FA3" w:rsidP="002D438E">
            <w:pPr>
              <w:numPr>
                <w:ilvl w:val="0"/>
                <w:numId w:val="1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sz w:val="20"/>
                <w:szCs w:val="20"/>
              </w:rPr>
              <w:t xml:space="preserve">Do konca prvého roka </w:t>
            </w:r>
            <w:r>
              <w:rPr>
                <w:rFonts w:eastAsia="Times New Roman" w:cstheme="minorHAnsi"/>
                <w:sz w:val="20"/>
                <w:szCs w:val="20"/>
              </w:rPr>
              <w:t>od podpisu zmluvy o NFP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 xml:space="preserve"> zriadiť Radu </w:t>
            </w:r>
            <w:proofErr w:type="spellStart"/>
            <w:r w:rsidRPr="00153FA3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153FA3">
              <w:rPr>
                <w:rFonts w:eastAsia="Times New Roman" w:cstheme="minorHAnsi"/>
                <w:sz w:val="20"/>
                <w:szCs w:val="20"/>
              </w:rPr>
              <w:t xml:space="preserve"> SR s minimálne </w:t>
            </w:r>
            <w:r w:rsidR="00F94165">
              <w:rPr>
                <w:rFonts w:eastAsia="Times New Roman" w:cstheme="minorHAnsi"/>
                <w:sz w:val="20"/>
                <w:szCs w:val="20"/>
              </w:rPr>
              <w:t>4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 xml:space="preserve"> členmi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(</w:t>
            </w:r>
            <w:r w:rsidR="00771DCF">
              <w:rPr>
                <w:rFonts w:eastAsia="Times New Roman" w:cstheme="minorHAnsi"/>
                <w:sz w:val="20"/>
                <w:szCs w:val="20"/>
              </w:rPr>
              <w:t>žiadateľ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+ </w:t>
            </w:r>
            <w:r w:rsidR="00F94165">
              <w:rPr>
                <w:rFonts w:eastAsia="Times New Roman" w:cstheme="minorHAnsi"/>
                <w:sz w:val="20"/>
                <w:szCs w:val="20"/>
              </w:rPr>
              <w:t xml:space="preserve">3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partneri predloženej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>) a identifikova</w:t>
            </w:r>
            <w:r w:rsidR="00771DCF">
              <w:rPr>
                <w:rFonts w:eastAsia="Times New Roman" w:cstheme="minorHAnsi"/>
                <w:sz w:val="20"/>
                <w:szCs w:val="20"/>
              </w:rPr>
              <w:t>ť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>zástupcov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ďalších relevantných 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>inštitúcií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zo zdravotníckeho sektora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 xml:space="preserve"> a relevantných výskumných organizácií</w:t>
            </w:r>
            <w:r w:rsidR="00771DCF">
              <w:rPr>
                <w:rFonts w:eastAsia="Times New Roman" w:cstheme="minorHAnsi"/>
                <w:sz w:val="20"/>
                <w:szCs w:val="20"/>
              </w:rPr>
              <w:t xml:space="preserve"> za účelom aktívnej spolupráce</w:t>
            </w:r>
            <w:r w:rsidR="00F94165">
              <w:rPr>
                <w:rFonts w:eastAsia="Times New Roman" w:cstheme="minorHAnsi"/>
                <w:sz w:val="20"/>
                <w:szCs w:val="20"/>
              </w:rPr>
              <w:t xml:space="preserve"> (M12)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7EDA16F" w14:textId="47276899" w:rsidR="00380045" w:rsidRDefault="00380045" w:rsidP="002D438E">
            <w:pPr>
              <w:numPr>
                <w:ilvl w:val="0"/>
                <w:numId w:val="1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Do konca prvého roka od podpisu zmluvy o NFP zriadiť poradný výbor (analogický výraz: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advisory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board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) pre Radu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, ktorý sa bude skladať zo zahraničných expertov a bude využívaný na definovanie procesov pre fungovanie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biobankovej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siete v zmysle najlepšej medzinárodnej praxe. Poradný výbor musí mať minimálne 3 členov a musí byť využívaný počas celej doby implementácie projektu</w:t>
            </w:r>
            <w:r w:rsidR="00F94165">
              <w:rPr>
                <w:rFonts w:eastAsia="Times New Roman" w:cstheme="minorHAnsi"/>
                <w:sz w:val="20"/>
                <w:szCs w:val="20"/>
              </w:rPr>
              <w:t xml:space="preserve"> (M12)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. </w:t>
            </w:r>
          </w:p>
          <w:p w14:paraId="0C0DEEB7" w14:textId="55BFB631" w:rsidR="001C59EA" w:rsidRDefault="001C59EA" w:rsidP="002D438E">
            <w:pPr>
              <w:numPr>
                <w:ilvl w:val="0"/>
                <w:numId w:val="13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Do konca </w:t>
            </w:r>
            <w:r w:rsidR="00F94165">
              <w:rPr>
                <w:rFonts w:eastAsia="Times New Roman" w:cstheme="minorHAnsi"/>
                <w:sz w:val="20"/>
                <w:szCs w:val="20"/>
              </w:rPr>
              <w:t>18 mesiacov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od podpisu zmluvy o NFP vytvoriť komunikačnú platformu (napríklad portál) poskytujúci prehľadné informácie o 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biobankovaní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na Slovensku, o jednotlivých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biobankách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a poskytovaných </w:t>
            </w:r>
            <w:r w:rsidR="00771DCF">
              <w:rPr>
                <w:rFonts w:eastAsia="Times New Roman" w:cstheme="minorHAnsi"/>
                <w:sz w:val="20"/>
                <w:szCs w:val="20"/>
              </w:rPr>
              <w:t xml:space="preserve">odborných </w:t>
            </w:r>
            <w:r>
              <w:rPr>
                <w:rFonts w:eastAsia="Times New Roman" w:cstheme="minorHAnsi"/>
                <w:sz w:val="20"/>
                <w:szCs w:val="20"/>
              </w:rPr>
              <w:t>službách pre výskumnú komunitu</w:t>
            </w:r>
            <w:r w:rsidR="00F94165">
              <w:rPr>
                <w:rFonts w:eastAsia="Times New Roman" w:cstheme="minorHAnsi"/>
                <w:sz w:val="20"/>
                <w:szCs w:val="20"/>
              </w:rPr>
              <w:t>, ako aj pre ďalšie cieľové skupiny, vrátane verejnosti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– v</w:t>
            </w:r>
            <w:r w:rsidR="00F94165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zmysle najlepšej medzinárodnej praxe (napríklad členovia BBMRI</w:t>
            </w:r>
            <w:r>
              <w:rPr>
                <w:rStyle w:val="Odkaznapoznmkupodiarou"/>
                <w:rFonts w:eastAsia="Times New Roman" w:cstheme="minorHAnsi"/>
                <w:sz w:val="20"/>
                <w:szCs w:val="20"/>
              </w:rPr>
              <w:footnoteReference w:id="11"/>
            </w:r>
            <w:r>
              <w:rPr>
                <w:rFonts w:eastAsia="Times New Roman" w:cstheme="minorHAnsi"/>
                <w:sz w:val="20"/>
                <w:szCs w:val="20"/>
              </w:rPr>
              <w:t xml:space="preserve">) </w:t>
            </w:r>
            <w:r w:rsidR="00A76C7C">
              <w:rPr>
                <w:rFonts w:eastAsia="Times New Roman" w:cstheme="minorHAnsi"/>
                <w:sz w:val="20"/>
                <w:szCs w:val="20"/>
              </w:rPr>
              <w:t>– a</w:t>
            </w:r>
            <w:r w:rsidR="00F94165">
              <w:rPr>
                <w:rFonts w:eastAsia="Times New Roman" w:cstheme="minorHAnsi"/>
                <w:sz w:val="20"/>
                <w:szCs w:val="20"/>
              </w:rPr>
              <w:t> </w:t>
            </w:r>
            <w:r w:rsidR="00A76C7C">
              <w:rPr>
                <w:rFonts w:eastAsia="Times New Roman" w:cstheme="minorHAnsi"/>
                <w:sz w:val="20"/>
                <w:szCs w:val="20"/>
              </w:rPr>
              <w:t>zabezpečiť jej pravidelnú aktualizáciu,</w:t>
            </w:r>
          </w:p>
          <w:p w14:paraId="70904253" w14:textId="77777777" w:rsidR="00F94165" w:rsidRDefault="00F94165" w:rsidP="00F9416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50407D59" w14:textId="21DAAAAE" w:rsidR="00F94165" w:rsidRPr="004207B3" w:rsidRDefault="00F94165" w:rsidP="00B50464">
            <w:pPr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Povinné míľnik</w:t>
            </w:r>
            <w:r w:rsidR="002D438E">
              <w:rPr>
                <w:rFonts w:eastAsia="Times New Roman" w:cstheme="minorHAnsi"/>
                <w:b/>
                <w:bCs/>
                <w:sz w:val="20"/>
                <w:szCs w:val="20"/>
              </w:rPr>
              <w:t>y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v oblasti sieťovania sa s relevantnými inštitúciami na národnej a medzinárodnej úrovni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3B486023" w14:textId="1D81D911" w:rsidR="00F94165" w:rsidRDefault="00F94165" w:rsidP="00F94165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sz w:val="20"/>
                <w:szCs w:val="20"/>
              </w:rPr>
              <w:t xml:space="preserve">Zabezpečiť aspoň </w:t>
            </w: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5 partnerstiev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 xml:space="preserve"> s európskymi </w:t>
            </w:r>
            <w:proofErr w:type="spellStart"/>
            <w:r w:rsidRPr="00153FA3">
              <w:rPr>
                <w:rFonts w:eastAsia="Times New Roman" w:cstheme="minorHAnsi"/>
                <w:sz w:val="20"/>
                <w:szCs w:val="20"/>
              </w:rPr>
              <w:t>biobankami</w:t>
            </w:r>
            <w:proofErr w:type="spellEnd"/>
            <w:r w:rsidRPr="00153FA3">
              <w:rPr>
                <w:rFonts w:eastAsia="Times New Roman" w:cstheme="minorHAnsi"/>
                <w:sz w:val="20"/>
                <w:szCs w:val="20"/>
              </w:rPr>
              <w:t xml:space="preserve"> a výskumnými inštitúciami </w:t>
            </w:r>
            <w:r w:rsidR="002D438E">
              <w:rPr>
                <w:rFonts w:eastAsia="Times New Roman" w:cstheme="minorHAnsi"/>
                <w:sz w:val="20"/>
                <w:szCs w:val="20"/>
              </w:rPr>
              <w:t xml:space="preserve"> (M24)</w:t>
            </w:r>
          </w:p>
          <w:p w14:paraId="207F54B7" w14:textId="77777777" w:rsidR="002D438E" w:rsidRDefault="002D438E" w:rsidP="002D438E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15CF74F8" w14:textId="56F59984" w:rsidR="002D438E" w:rsidRPr="002D438E" w:rsidRDefault="002D438E" w:rsidP="002D438E">
            <w:p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Povinné míľniky v oblasti zlepšenia koordinácie výskumného </w:t>
            </w:r>
            <w:proofErr w:type="spellStart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>biobankovania</w:t>
            </w:r>
            <w:proofErr w:type="spellEnd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 národnej úrovni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formou jednotného riadiaceho modelu</w:t>
            </w:r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– oblasť jednotných štandardov (žiadateľ určí v </w:t>
            </w:r>
            <w:proofErr w:type="spellStart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časové rámce pre ich dosiahnutie).</w:t>
            </w:r>
          </w:p>
          <w:p w14:paraId="52C718A6" w14:textId="77777777" w:rsidR="002D438E" w:rsidRPr="00153FA3" w:rsidRDefault="002D438E" w:rsidP="002D438E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sz w:val="20"/>
                <w:szCs w:val="20"/>
              </w:rPr>
              <w:t xml:space="preserve">Definícia </w:t>
            </w:r>
            <w:proofErr w:type="spellStart"/>
            <w:r w:rsidRPr="00153FA3">
              <w:rPr>
                <w:rFonts w:eastAsia="Times New Roman" w:cstheme="minorHAnsi"/>
                <w:sz w:val="20"/>
                <w:szCs w:val="20"/>
              </w:rPr>
              <w:t>minimal</w:t>
            </w:r>
            <w:proofErr w:type="spellEnd"/>
            <w:r w:rsidRPr="00153FA3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153FA3">
              <w:rPr>
                <w:rFonts w:eastAsia="Times New Roman" w:cstheme="minorHAnsi"/>
                <w:sz w:val="20"/>
                <w:szCs w:val="20"/>
              </w:rPr>
              <w:t>data</w:t>
            </w:r>
            <w:proofErr w:type="spellEnd"/>
            <w:r w:rsidRPr="00153FA3">
              <w:rPr>
                <w:rFonts w:eastAsia="Times New Roman" w:cstheme="minorHAnsi"/>
                <w:sz w:val="20"/>
                <w:szCs w:val="20"/>
              </w:rPr>
              <w:t xml:space="preserve"> set pre vzorku</w:t>
            </w:r>
          </w:p>
          <w:p w14:paraId="3B0967E1" w14:textId="77777777" w:rsidR="002D438E" w:rsidRPr="00153FA3" w:rsidRDefault="002D438E" w:rsidP="002D438E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sz w:val="20"/>
                <w:szCs w:val="20"/>
              </w:rPr>
              <w:t>Definícia minimálneho spoločného obsahu informovaného súhlasu</w:t>
            </w:r>
          </w:p>
          <w:p w14:paraId="72E2F8D4" w14:textId="77777777" w:rsidR="002D438E" w:rsidRPr="00153FA3" w:rsidRDefault="002D438E" w:rsidP="002D438E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sz w:val="20"/>
                <w:szCs w:val="20"/>
              </w:rPr>
              <w:t>Definícia minimálnych požiadaviek pre etické komisie územných celkov</w:t>
            </w:r>
          </w:p>
          <w:p w14:paraId="0870D1E8" w14:textId="2D437559" w:rsidR="002D438E" w:rsidRPr="00153FA3" w:rsidRDefault="002D438E" w:rsidP="002D438E">
            <w:pPr>
              <w:numPr>
                <w:ilvl w:val="0"/>
                <w:numId w:val="14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 Pravidlá pre využívanie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biobankovej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siete pre rôzne cieľové skupiny na národnej a medzinárodnej úrovni – vrátane BBMRI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5F25E8A2" w14:textId="749F95ED" w:rsidR="002D438E" w:rsidRDefault="002D438E" w:rsidP="002D438E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9479B90" w14:textId="3D1F87B7" w:rsidR="002D438E" w:rsidRPr="002D438E" w:rsidRDefault="002D438E" w:rsidP="002D438E">
            <w:p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Ďalšie povinné oblasti, ktoré má </w:t>
            </w:r>
            <w:proofErr w:type="spellStart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v rámci cieľa 1 pokrývať: </w:t>
            </w:r>
          </w:p>
          <w:p w14:paraId="56278E5B" w14:textId="4C6977EF" w:rsidR="002D438E" w:rsidRDefault="002D438E" w:rsidP="002D438E">
            <w:pPr>
              <w:ind w:left="360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701314E" w14:textId="77777777" w:rsidR="002D438E" w:rsidRPr="00153FA3" w:rsidRDefault="002D438E" w:rsidP="002D438E">
            <w:pPr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Zvýšená štandardizácia medzi </w:t>
            </w:r>
            <w:proofErr w:type="spellStart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biobankami</w:t>
            </w:r>
            <w:proofErr w:type="spellEnd"/>
            <w:r w:rsidRPr="00153FA3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683FC363" w14:textId="19AF4A69" w:rsidR="002D438E" w:rsidRPr="002D438E" w:rsidRDefault="002D438E" w:rsidP="002D438E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438E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Ku koncu realizácie projektu dosiahnuť 80 % súlad so štandardizovanými procesmi (správa dát, informované súhlasy, uchovávanie vzoriek) medzi všetkými zapojenými </w:t>
            </w:r>
            <w:proofErr w:type="spellStart"/>
            <w:r w:rsidRPr="002D438E">
              <w:rPr>
                <w:rFonts w:eastAsia="Times New Roman" w:cstheme="minorHAnsi"/>
                <w:sz w:val="20"/>
                <w:szCs w:val="20"/>
              </w:rPr>
              <w:t>biobankami</w:t>
            </w:r>
            <w:proofErr w:type="spellEnd"/>
            <w:r w:rsidRPr="002D438E">
              <w:rPr>
                <w:rFonts w:eastAsia="Times New Roman" w:cstheme="minorHAnsi"/>
                <w:sz w:val="20"/>
                <w:szCs w:val="20"/>
              </w:rPr>
              <w:t xml:space="preserve"> (v rámci projektu musia vznikať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pravidelné (minimálne v ročnej frekvencii) </w:t>
            </w:r>
            <w:r w:rsidRPr="002D438E">
              <w:rPr>
                <w:rFonts w:eastAsia="Times New Roman" w:cstheme="minorHAnsi"/>
                <w:sz w:val="20"/>
                <w:szCs w:val="20"/>
              </w:rPr>
              <w:t>statusy súladu s normou ISO 20387 (od ukončenia 1 roku realizácie projektu).</w:t>
            </w:r>
          </w:p>
          <w:p w14:paraId="1A3B7E1C" w14:textId="77777777" w:rsidR="002D438E" w:rsidRDefault="002D438E" w:rsidP="002D438E">
            <w:p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52EA07F9" w14:textId="21DF9A9F" w:rsidR="00153FA3" w:rsidRPr="00153FA3" w:rsidRDefault="00153FA3" w:rsidP="002D438E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Počet stretnutí konzorcia</w:t>
            </w:r>
            <w:r w:rsidRPr="00153FA3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080D9B12" w14:textId="1C2048A5" w:rsidR="00153FA3" w:rsidRPr="002D438E" w:rsidRDefault="00153FA3" w:rsidP="002D438E">
            <w:pPr>
              <w:numPr>
                <w:ilvl w:val="0"/>
                <w:numId w:val="15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438E">
              <w:rPr>
                <w:rFonts w:eastAsia="Times New Roman" w:cstheme="minorHAnsi"/>
                <w:sz w:val="20"/>
                <w:szCs w:val="20"/>
              </w:rPr>
              <w:t xml:space="preserve">Pravidelné stretnutia konzorciových partnerov na riešenie stratégií a koordináciu cieľov </w:t>
            </w:r>
            <w:proofErr w:type="spellStart"/>
            <w:r w:rsidRPr="002D438E">
              <w:rPr>
                <w:rFonts w:eastAsia="Times New Roman" w:cstheme="minorHAnsi"/>
                <w:sz w:val="20"/>
                <w:szCs w:val="20"/>
              </w:rPr>
              <w:t>biobankovej</w:t>
            </w:r>
            <w:proofErr w:type="spellEnd"/>
            <w:r w:rsidRPr="002D438E">
              <w:rPr>
                <w:rFonts w:eastAsia="Times New Roman" w:cstheme="minorHAnsi"/>
                <w:sz w:val="20"/>
                <w:szCs w:val="20"/>
              </w:rPr>
              <w:t xml:space="preserve"> siete</w:t>
            </w:r>
            <w:r w:rsidR="002D438E" w:rsidRPr="002D438E">
              <w:rPr>
                <w:rFonts w:eastAsia="Times New Roman" w:cstheme="minorHAnsi"/>
                <w:sz w:val="20"/>
                <w:szCs w:val="20"/>
              </w:rPr>
              <w:t xml:space="preserve"> - </w:t>
            </w:r>
            <w:r w:rsidR="002D438E">
              <w:rPr>
                <w:rFonts w:eastAsia="Times New Roman" w:cstheme="minorHAnsi"/>
                <w:sz w:val="20"/>
                <w:szCs w:val="20"/>
              </w:rPr>
              <w:t>p</w:t>
            </w:r>
            <w:r w:rsidRPr="002D438E">
              <w:rPr>
                <w:rFonts w:eastAsia="Times New Roman" w:cstheme="minorHAnsi"/>
                <w:sz w:val="20"/>
                <w:szCs w:val="20"/>
              </w:rPr>
              <w:t xml:space="preserve">očas implementácie projektu zrealizovať aspoň </w:t>
            </w:r>
            <w:r w:rsidRPr="002D438E">
              <w:rPr>
                <w:rFonts w:eastAsia="Times New Roman" w:cstheme="minorHAnsi"/>
                <w:b/>
                <w:bCs/>
                <w:sz w:val="20"/>
                <w:szCs w:val="20"/>
              </w:rPr>
              <w:t>12 stretnutí</w:t>
            </w:r>
            <w:r w:rsidRPr="002D438E">
              <w:rPr>
                <w:rFonts w:eastAsia="Times New Roman" w:cstheme="minorHAnsi"/>
                <w:sz w:val="20"/>
                <w:szCs w:val="20"/>
              </w:rPr>
              <w:t xml:space="preserve"> so zástupcami všetkých členských </w:t>
            </w:r>
            <w:proofErr w:type="spellStart"/>
            <w:r w:rsidRPr="002D438E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2D438E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EDB483C" w14:textId="77777777" w:rsidR="002D438E" w:rsidRPr="002D438E" w:rsidRDefault="002D438E" w:rsidP="002D438E">
            <w:pPr>
              <w:ind w:left="360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5B944107" w14:textId="1D8FA5D4" w:rsidR="00153FA3" w:rsidRPr="00153FA3" w:rsidRDefault="002D438E" w:rsidP="002D438E">
            <w:p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Vypracovanie výskumných  </w:t>
            </w:r>
            <w:r w:rsidR="00153FA3"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analýz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týkajúcich sa systémových otázok výskumného </w:t>
            </w: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biobankovania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 Slovensku a vo vzťahu k otvoreným výzvam a otázkam, ktoré sú pre výskumné </w:t>
            </w: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biobankovanie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aktuálne z medzinárodného hľadiska</w:t>
            </w:r>
            <w:r w:rsidR="00153FA3" w:rsidRPr="00153FA3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5B598522" w14:textId="14305B19" w:rsidR="00153FA3" w:rsidRPr="00EB78F2" w:rsidRDefault="00380045" w:rsidP="00EB78F2">
            <w:pPr>
              <w:numPr>
                <w:ilvl w:val="0"/>
                <w:numId w:val="17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EB78F2">
              <w:rPr>
                <w:rFonts w:eastAsia="Times New Roman" w:cstheme="minorHAnsi"/>
                <w:sz w:val="20"/>
                <w:szCs w:val="20"/>
              </w:rPr>
              <w:t xml:space="preserve">Dlhodobá víziu a stratégia </w:t>
            </w:r>
            <w:proofErr w:type="spellStart"/>
            <w:r w:rsidRPr="00EB78F2">
              <w:rPr>
                <w:rFonts w:eastAsia="Times New Roman" w:cstheme="minorHAnsi"/>
                <w:sz w:val="20"/>
                <w:szCs w:val="20"/>
              </w:rPr>
              <w:t>biobankovania</w:t>
            </w:r>
            <w:proofErr w:type="spellEnd"/>
            <w:r w:rsidRPr="00EB78F2">
              <w:rPr>
                <w:rFonts w:eastAsia="Times New Roman" w:cstheme="minorHAnsi"/>
                <w:sz w:val="20"/>
                <w:szCs w:val="20"/>
              </w:rPr>
              <w:t xml:space="preserve"> na Slovensku, vrátane analýzy súčasného stavu, identifikovania prínosov pre výskumno-vývojové aktivity, ako aj pre zvýšenie kvality zdravotnej starostlivosti; súčasťou tohto výstupu bude náčrt udržateľného modelu financovania </w:t>
            </w:r>
            <w:proofErr w:type="spellStart"/>
            <w:r w:rsidRPr="00EB78F2">
              <w:rPr>
                <w:rFonts w:eastAsia="Times New Roman" w:cstheme="minorHAnsi"/>
                <w:sz w:val="20"/>
                <w:szCs w:val="20"/>
              </w:rPr>
              <w:t>biobankovania</w:t>
            </w:r>
            <w:proofErr w:type="spellEnd"/>
            <w:r w:rsidRPr="00EB78F2">
              <w:rPr>
                <w:rFonts w:eastAsia="Times New Roman" w:cstheme="minorHAnsi"/>
                <w:sz w:val="20"/>
                <w:szCs w:val="20"/>
              </w:rPr>
              <w:t xml:space="preserve"> v horizonte do roku 2035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(vrátane výziev a návrhu opatrení na zlepšenie stavu) a 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>hodnoten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>ia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pripravenosti potenciálnych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nových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="00153FA3" w:rsidRPr="00EB78F2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na vstup do siete.</w:t>
            </w:r>
            <w:r w:rsidR="00EB78F2" w:rsidRPr="00EB78F2">
              <w:rPr>
                <w:rFonts w:eastAsia="Times New Roman" w:cstheme="minorHAnsi"/>
                <w:sz w:val="20"/>
                <w:szCs w:val="20"/>
              </w:rPr>
              <w:t xml:space="preserve"> Počas projektu bude potrebné </w:t>
            </w:r>
            <w:r w:rsidR="00EB78F2">
              <w:rPr>
                <w:rFonts w:eastAsia="Times New Roman" w:cstheme="minorHAnsi"/>
                <w:sz w:val="20"/>
                <w:szCs w:val="20"/>
              </w:rPr>
              <w:t>v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ypracovať </w:t>
            </w:r>
            <w:r w:rsidR="001C59EA" w:rsidRPr="00EB78F2">
              <w:rPr>
                <w:rFonts w:eastAsia="Times New Roman" w:cstheme="minorHAnsi"/>
                <w:sz w:val="20"/>
                <w:szCs w:val="20"/>
              </w:rPr>
              <w:t>3</w:t>
            </w:r>
            <w:r w:rsidR="00153FA3" w:rsidRPr="00EB78F2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EB78F2">
              <w:rPr>
                <w:rFonts w:eastAsia="Times New Roman" w:cstheme="minorHAnsi"/>
                <w:b/>
                <w:bCs/>
                <w:sz w:val="20"/>
                <w:szCs w:val="20"/>
              </w:rPr>
              <w:t>verzie dokumentu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(</w:t>
            </w:r>
            <w:r w:rsidR="001C59EA" w:rsidRPr="00EB78F2">
              <w:rPr>
                <w:rFonts w:eastAsia="Times New Roman" w:cstheme="minorHAnsi"/>
                <w:sz w:val="20"/>
                <w:szCs w:val="20"/>
              </w:rPr>
              <w:t>do 12 mesiacov od začiatku implementácie projektu,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1C59EA" w:rsidRPr="00EB78F2">
              <w:rPr>
                <w:rFonts w:eastAsia="Times New Roman" w:cstheme="minorHAnsi"/>
                <w:sz w:val="20"/>
                <w:szCs w:val="20"/>
              </w:rPr>
              <w:t>42 mesiacov od začiatku implementácie projektu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r w:rsidR="001C59EA" w:rsidRPr="00EB78F2">
              <w:rPr>
                <w:rFonts w:eastAsia="Times New Roman" w:cstheme="minorHAnsi"/>
                <w:sz w:val="20"/>
                <w:szCs w:val="20"/>
              </w:rPr>
              <w:t xml:space="preserve">ku 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>konc</w:t>
            </w:r>
            <w:r w:rsidR="001C59EA" w:rsidRPr="00EB78F2">
              <w:rPr>
                <w:rFonts w:eastAsia="Times New Roman" w:cstheme="minorHAnsi"/>
                <w:sz w:val="20"/>
                <w:szCs w:val="20"/>
              </w:rPr>
              <w:t>u</w:t>
            </w:r>
            <w:r w:rsidR="00153FA3" w:rsidRPr="00EB78F2">
              <w:rPr>
                <w:rFonts w:eastAsia="Times New Roman" w:cstheme="minorHAnsi"/>
                <w:sz w:val="20"/>
                <w:szCs w:val="20"/>
              </w:rPr>
              <w:t xml:space="preserve"> realizácie projektu)</w:t>
            </w:r>
            <w:r w:rsidRPr="00EB78F2">
              <w:rPr>
                <w:rFonts w:eastAsia="Times New Roman" w:cstheme="minorHAnsi"/>
                <w:sz w:val="20"/>
                <w:szCs w:val="20"/>
              </w:rPr>
              <w:t xml:space="preserve"> a finálne verzie dokumentov zverejňovať na komunikačnej platforme Rady </w:t>
            </w:r>
            <w:proofErr w:type="spellStart"/>
            <w:r w:rsidRPr="00EB78F2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EB78F2">
              <w:rPr>
                <w:rFonts w:eastAsia="Times New Roman" w:cstheme="minorHAnsi"/>
                <w:sz w:val="20"/>
                <w:szCs w:val="20"/>
              </w:rPr>
              <w:t xml:space="preserve">. </w:t>
            </w:r>
          </w:p>
          <w:p w14:paraId="3D2E84B1" w14:textId="77777777" w:rsidR="00EB78F2" w:rsidRDefault="00EB78F2" w:rsidP="00EB78F2">
            <w:pPr>
              <w:ind w:left="360"/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4684E850" w14:textId="29FF2B57" w:rsidR="004207B3" w:rsidRPr="00153FA3" w:rsidRDefault="004207B3" w:rsidP="00EB78F2">
            <w:p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Zintenzívenie</w:t>
            </w:r>
            <w:proofErr w:type="spellEnd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vzdeláva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cích procesov</w:t>
            </w: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o </w:t>
            </w:r>
            <w:proofErr w:type="spellStart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biobankovaní</w:t>
            </w:r>
            <w:proofErr w:type="spellEnd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3B3BF754" w14:textId="17648647" w:rsidR="004207B3" w:rsidRPr="00A76C7C" w:rsidRDefault="00EB78F2" w:rsidP="00EB78F2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V rámci realizácie projektu bude musieť dôjsť ku </w:t>
            </w:r>
            <w:r>
              <w:rPr>
                <w:rFonts w:eastAsia="Times New Roman" w:cstheme="minorHAnsi"/>
                <w:sz w:val="20"/>
                <w:szCs w:val="20"/>
              </w:rPr>
              <w:t>k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>oordin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ovaným 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vzdelávac</w:t>
            </w:r>
            <w:r>
              <w:rPr>
                <w:rFonts w:eastAsia="Times New Roman" w:cstheme="minorHAnsi"/>
                <w:sz w:val="20"/>
                <w:szCs w:val="20"/>
              </w:rPr>
              <w:t>ím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aktiv</w:t>
            </w:r>
            <w:r>
              <w:rPr>
                <w:rFonts w:eastAsia="Times New Roman" w:cstheme="minorHAnsi"/>
                <w:sz w:val="20"/>
                <w:szCs w:val="20"/>
              </w:rPr>
              <w:t>i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>t</w:t>
            </w:r>
            <w:r>
              <w:rPr>
                <w:rFonts w:eastAsia="Times New Roman" w:cstheme="minorHAnsi"/>
                <w:sz w:val="20"/>
                <w:szCs w:val="20"/>
              </w:rPr>
              <w:t>ám so zapojením sa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jednotlivých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členských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="004207B3" w:rsidRPr="00A76C7C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>, ktoré budú mať dosah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a prepojenie na </w:t>
            </w:r>
            <w:r w:rsidR="004207B3">
              <w:rPr>
                <w:rFonts w:eastAsia="Times New Roman" w:cstheme="minorHAnsi"/>
                <w:sz w:val="20"/>
                <w:szCs w:val="20"/>
              </w:rPr>
              <w:t>všetky relevantné sektory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. V rámci projektu musí vzniknúť správa o 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4207B3">
              <w:rPr>
                <w:rFonts w:eastAsia="Times New Roman" w:cstheme="minorHAnsi"/>
                <w:sz w:val="20"/>
                <w:szCs w:val="20"/>
              </w:rPr>
              <w:t>realizáci</w:t>
            </w:r>
            <w:r>
              <w:rPr>
                <w:rFonts w:eastAsia="Times New Roman" w:cstheme="minorHAnsi"/>
                <w:sz w:val="20"/>
                <w:szCs w:val="20"/>
              </w:rPr>
              <w:t>i</w:t>
            </w:r>
            <w:r w:rsidR="004207B3">
              <w:rPr>
                <w:rFonts w:eastAsia="Times New Roman" w:cstheme="minorHAnsi"/>
                <w:sz w:val="20"/>
                <w:szCs w:val="20"/>
              </w:rPr>
              <w:t xml:space="preserve"> a dopadu </w:t>
            </w:r>
            <w:r w:rsidR="004207B3" w:rsidRPr="00A76C7C">
              <w:rPr>
                <w:rFonts w:eastAsia="Times New Roman" w:cstheme="minorHAnsi"/>
                <w:sz w:val="20"/>
                <w:szCs w:val="20"/>
              </w:rPr>
              <w:t>vzdeláva</w:t>
            </w:r>
            <w:r w:rsidR="004207B3">
              <w:rPr>
                <w:rFonts w:eastAsia="Times New Roman" w:cstheme="minorHAnsi"/>
                <w:sz w:val="20"/>
                <w:szCs w:val="20"/>
              </w:rPr>
              <w:t>cích aktivít národnej siete a návrhu na ďalšie aktivity (do 12 mesiacov od začiatku implementácie projektu,</w:t>
            </w:r>
            <w:r w:rsidR="004207B3" w:rsidRPr="00153FA3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4207B3">
              <w:rPr>
                <w:rFonts w:eastAsia="Times New Roman" w:cstheme="minorHAnsi"/>
                <w:sz w:val="20"/>
                <w:szCs w:val="20"/>
              </w:rPr>
              <w:t>42 mesiacov od začiatku implementácie projektu</w:t>
            </w:r>
            <w:r w:rsidR="004207B3" w:rsidRPr="00153FA3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r w:rsidR="004207B3">
              <w:rPr>
                <w:rFonts w:eastAsia="Times New Roman" w:cstheme="minorHAnsi"/>
                <w:sz w:val="20"/>
                <w:szCs w:val="20"/>
              </w:rPr>
              <w:t xml:space="preserve">ku </w:t>
            </w:r>
            <w:r w:rsidR="004207B3" w:rsidRPr="00153FA3">
              <w:rPr>
                <w:rFonts w:eastAsia="Times New Roman" w:cstheme="minorHAnsi"/>
                <w:sz w:val="20"/>
                <w:szCs w:val="20"/>
              </w:rPr>
              <w:t>konc</w:t>
            </w:r>
            <w:r w:rsidR="004207B3">
              <w:rPr>
                <w:rFonts w:eastAsia="Times New Roman" w:cstheme="minorHAnsi"/>
                <w:sz w:val="20"/>
                <w:szCs w:val="20"/>
              </w:rPr>
              <w:t>u</w:t>
            </w:r>
            <w:r w:rsidR="004207B3" w:rsidRPr="00153FA3">
              <w:rPr>
                <w:rFonts w:eastAsia="Times New Roman" w:cstheme="minorHAnsi"/>
                <w:sz w:val="20"/>
                <w:szCs w:val="20"/>
              </w:rPr>
              <w:t xml:space="preserve"> realizácie projektu</w:t>
            </w:r>
            <w:r w:rsidR="004207B3">
              <w:rPr>
                <w:rFonts w:eastAsia="Times New Roman" w:cstheme="minorHAnsi"/>
                <w:sz w:val="20"/>
                <w:szCs w:val="20"/>
              </w:rPr>
              <w:t>)</w:t>
            </w:r>
            <w:r w:rsidR="004207B3"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45546A4" w14:textId="77777777" w:rsidR="00153FA3" w:rsidRPr="00153FA3" w:rsidRDefault="00153FA3" w:rsidP="00153FA3">
            <w:pPr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6E60445D" w14:textId="77777777" w:rsidR="004207B3" w:rsidRPr="004207B3" w:rsidRDefault="004207B3" w:rsidP="00EB78F2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Počet nových </w:t>
            </w:r>
            <w:proofErr w:type="spellStart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>biobánk</w:t>
            </w:r>
            <w:proofErr w:type="spellEnd"/>
            <w:r w:rsidRPr="00153F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integrovaných do siete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699B4589" w14:textId="15C6EC56" w:rsidR="004207B3" w:rsidRPr="00EB78F2" w:rsidRDefault="00EB78F2" w:rsidP="00EB78F2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EB78F2">
              <w:rPr>
                <w:rFonts w:eastAsia="Times New Roman" w:cstheme="minorHAnsi"/>
                <w:sz w:val="20"/>
                <w:szCs w:val="20"/>
              </w:rPr>
              <w:t> Realizácia projektu má umožniť zvýšiť p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očet </w:t>
            </w:r>
            <w:proofErr w:type="spellStart"/>
            <w:r w:rsidR="004207B3" w:rsidRPr="00EB78F2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úspešne integrovaných do siete a zosúladených s vybranými štandardmi</w:t>
            </w:r>
            <w:r w:rsidRPr="00EB78F2">
              <w:rPr>
                <w:rFonts w:eastAsia="Times New Roman" w:cstheme="minorHAnsi"/>
                <w:sz w:val="20"/>
                <w:szCs w:val="20"/>
              </w:rPr>
              <w:t xml:space="preserve"> - 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>Do konca realizácie projektu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bude potrebné</w:t>
            </w:r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začleniť minimálne </w:t>
            </w:r>
            <w:r w:rsidR="004207B3" w:rsidRPr="00EB78F2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2 nové </w:t>
            </w:r>
            <w:proofErr w:type="spellStart"/>
            <w:r w:rsidR="004207B3" w:rsidRPr="00EB78F2">
              <w:rPr>
                <w:rFonts w:eastAsia="Times New Roman" w:cstheme="minorHAnsi"/>
                <w:b/>
                <w:bCs/>
                <w:sz w:val="20"/>
                <w:szCs w:val="20"/>
              </w:rPr>
              <w:t>biobanky</w:t>
            </w:r>
            <w:proofErr w:type="spellEnd"/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, ktoré aktuálne nepostupujú podľa SVALZ/Tkanivové zariadenie, alebo novelizovaného zákona 576/2004 </w:t>
            </w:r>
            <w:proofErr w:type="spellStart"/>
            <w:r w:rsidR="004207B3" w:rsidRPr="00EB78F2">
              <w:rPr>
                <w:rFonts w:eastAsia="Times New Roman" w:cstheme="minorHAnsi"/>
                <w:sz w:val="20"/>
                <w:szCs w:val="20"/>
              </w:rPr>
              <w:t>Z.z</w:t>
            </w:r>
            <w:proofErr w:type="spellEnd"/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., kde bude definovaná </w:t>
            </w:r>
            <w:proofErr w:type="spellStart"/>
            <w:r w:rsidR="004207B3" w:rsidRPr="00EB78F2">
              <w:rPr>
                <w:rFonts w:eastAsia="Times New Roman" w:cstheme="minorHAnsi"/>
                <w:sz w:val="20"/>
                <w:szCs w:val="20"/>
              </w:rPr>
              <w:t>biobanka</w:t>
            </w:r>
            <w:proofErr w:type="spellEnd"/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– do národnej </w:t>
            </w:r>
            <w:proofErr w:type="spellStart"/>
            <w:r w:rsidR="004207B3" w:rsidRPr="00EB78F2">
              <w:rPr>
                <w:rFonts w:eastAsia="Times New Roman" w:cstheme="minorHAnsi"/>
                <w:sz w:val="20"/>
                <w:szCs w:val="20"/>
              </w:rPr>
              <w:t>biobankovej</w:t>
            </w:r>
            <w:proofErr w:type="spellEnd"/>
            <w:r w:rsidR="004207B3" w:rsidRPr="00EB78F2">
              <w:rPr>
                <w:rFonts w:eastAsia="Times New Roman" w:cstheme="minorHAnsi"/>
                <w:sz w:val="20"/>
                <w:szCs w:val="20"/>
              </w:rPr>
              <w:t xml:space="preserve"> siete</w:t>
            </w:r>
          </w:p>
          <w:p w14:paraId="4076F22C" w14:textId="77777777" w:rsidR="00153FA3" w:rsidRDefault="00153FA3" w:rsidP="005D2B56">
            <w:pPr>
              <w:rPr>
                <w:b/>
                <w:sz w:val="20"/>
                <w:szCs w:val="20"/>
              </w:rPr>
            </w:pPr>
          </w:p>
          <w:p w14:paraId="3DC2BEA5" w14:textId="2A2C0AAC" w:rsidR="00A76C7C" w:rsidRDefault="00153FA3" w:rsidP="00A76C7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Špecifické požiadavky na </w:t>
            </w:r>
            <w:proofErr w:type="spellStart"/>
            <w:r>
              <w:rPr>
                <w:b/>
                <w:sz w:val="20"/>
                <w:szCs w:val="20"/>
              </w:rPr>
              <w:t>ŽoNFP</w:t>
            </w:r>
            <w:proofErr w:type="spellEnd"/>
            <w:r w:rsidR="00EE228C">
              <w:rPr>
                <w:b/>
                <w:sz w:val="20"/>
                <w:szCs w:val="20"/>
              </w:rPr>
              <w:t>, ktoré budú obsahovať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E228C">
              <w:rPr>
                <w:b/>
                <w:sz w:val="20"/>
                <w:szCs w:val="20"/>
              </w:rPr>
              <w:t xml:space="preserve">aktivity </w:t>
            </w:r>
            <w:r>
              <w:rPr>
                <w:b/>
                <w:sz w:val="20"/>
                <w:szCs w:val="20"/>
              </w:rPr>
              <w:t>v rámci cieľa 2</w:t>
            </w:r>
            <w:r w:rsidR="00EE228C">
              <w:rPr>
                <w:b/>
                <w:sz w:val="20"/>
                <w:szCs w:val="20"/>
              </w:rPr>
              <w:t xml:space="preserve"> a budú zamerané na modernizáciu existujúcej alebo zriadenie novej infraštruktúry pre individuálnu </w:t>
            </w:r>
            <w:proofErr w:type="spellStart"/>
            <w:r w:rsidR="00EE228C">
              <w:rPr>
                <w:b/>
                <w:sz w:val="20"/>
                <w:szCs w:val="20"/>
              </w:rPr>
              <w:t>biobanku</w:t>
            </w:r>
            <w:proofErr w:type="spellEnd"/>
            <w:r w:rsidR="00EE228C">
              <w:rPr>
                <w:b/>
                <w:sz w:val="20"/>
                <w:szCs w:val="20"/>
              </w:rPr>
              <w:t xml:space="preserve"> – buď už existujúcu, alebo </w:t>
            </w:r>
            <w:proofErr w:type="spellStart"/>
            <w:r w:rsidR="00EE228C">
              <w:rPr>
                <w:b/>
                <w:sz w:val="20"/>
                <w:szCs w:val="20"/>
              </w:rPr>
              <w:t>novozriaďovanú</w:t>
            </w:r>
            <w:proofErr w:type="spellEnd"/>
            <w:r w:rsidR="00EE228C">
              <w:rPr>
                <w:b/>
                <w:sz w:val="20"/>
                <w:szCs w:val="20"/>
              </w:rPr>
              <w:t xml:space="preserve"> </w:t>
            </w:r>
            <w:r w:rsidRPr="00684468">
              <w:rPr>
                <w:b/>
                <w:sz w:val="20"/>
                <w:szCs w:val="20"/>
              </w:rPr>
              <w:t xml:space="preserve"> </w:t>
            </w:r>
            <w:r w:rsidR="00A76C7C">
              <w:rPr>
                <w:b/>
                <w:sz w:val="20"/>
                <w:szCs w:val="20"/>
              </w:rPr>
              <w:t xml:space="preserve">(žiadateľ splnenie uvedených špecifických požiadaviek deklaruje vo formulári </w:t>
            </w:r>
            <w:proofErr w:type="spellStart"/>
            <w:r w:rsidR="00A76C7C">
              <w:rPr>
                <w:b/>
                <w:sz w:val="20"/>
                <w:szCs w:val="20"/>
              </w:rPr>
              <w:t>ŽoNFP</w:t>
            </w:r>
            <w:proofErr w:type="spellEnd"/>
            <w:r w:rsidR="00A76C7C">
              <w:rPr>
                <w:b/>
                <w:sz w:val="20"/>
                <w:szCs w:val="20"/>
              </w:rPr>
              <w:t xml:space="preserve"> a v opise projektu):</w:t>
            </w:r>
          </w:p>
          <w:p w14:paraId="73189967" w14:textId="77777777" w:rsidR="00A76C7C" w:rsidRDefault="00A76C7C" w:rsidP="00A76C7C">
            <w:pPr>
              <w:jc w:val="both"/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11C1FFFA" w14:textId="332F50F1" w:rsidR="00A76C7C" w:rsidRPr="00A76C7C" w:rsidRDefault="00A76C7C" w:rsidP="00A76C7C">
            <w:pPr>
              <w:jc w:val="both"/>
              <w:outlineLvl w:val="3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Požiadavky pre každú predloženú</w:t>
            </w: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2F2C90">
              <w:rPr>
                <w:rFonts w:eastAsia="Times New Roman" w:cstheme="minorHAnsi"/>
                <w:b/>
                <w:bCs/>
                <w:sz w:val="20"/>
                <w:szCs w:val="20"/>
              </w:rPr>
              <w:t>, ktoré musia byť splnené buď priebežne, alebo najneskôr ku koncu implementácie projektu (podľa toho, ako to je uvedené nižšie)</w:t>
            </w:r>
            <w:r w:rsidR="00EE228C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12"/>
            </w: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21EE73A3" w14:textId="6CFA6776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zamestnancov (FTE)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53D6F76D" w14:textId="77777777" w:rsidR="00A76C7C" w:rsidRPr="004207B3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FTE (resp. zamestnancov)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 xml:space="preserve">Počet novovytvorených pracovných miest priamo zapojených do vytvorenia a prevádzky </w:t>
            </w:r>
            <w:proofErr w:type="spellStart"/>
            <w:r w:rsidRPr="004207B3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4207B3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8DEE7D0" w14:textId="129214AF" w:rsidR="00A76C7C" w:rsidRPr="004207B3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>Vytvoriť minimálne 2 FTE na pozíci</w:t>
            </w:r>
            <w:r w:rsidR="00771DCF">
              <w:rPr>
                <w:rFonts w:eastAsia="Times New Roman" w:cstheme="minorHAnsi"/>
                <w:sz w:val="20"/>
                <w:szCs w:val="20"/>
              </w:rPr>
              <w:t>á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 xml:space="preserve">ch relevantných podľa príslušnej ISO normy pre </w:t>
            </w:r>
            <w:proofErr w:type="spellStart"/>
            <w:r w:rsidRPr="004207B3">
              <w:rPr>
                <w:rFonts w:eastAsia="Times New Roman" w:cstheme="minorHAnsi"/>
                <w:sz w:val="20"/>
                <w:szCs w:val="20"/>
              </w:rPr>
              <w:t>biobankovanie</w:t>
            </w:r>
            <w:proofErr w:type="spellEnd"/>
            <w:r w:rsidRPr="004207B3">
              <w:rPr>
                <w:rFonts w:eastAsia="Times New Roman" w:cstheme="minorHAnsi"/>
                <w:sz w:val="20"/>
                <w:szCs w:val="20"/>
              </w:rPr>
              <w:t xml:space="preserve"> (20387)  (technici, manažéri dát atď.) pre projekt v rámci cieľa 2a.) a minimálne 0,5 FTE pre projekt v rámci cieľa 2b.).</w:t>
            </w:r>
          </w:p>
          <w:p w14:paraId="3C28AC9E" w14:textId="2F600392" w:rsidR="008609FF" w:rsidRPr="008609FF" w:rsidRDefault="008609FF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Vytvorenie komunikačnej platformy (napríklad webový portál):</w:t>
            </w:r>
          </w:p>
          <w:p w14:paraId="1175B974" w14:textId="0409966B" w:rsidR="008609FF" w:rsidRPr="007C451A" w:rsidRDefault="008609FF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C451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Vytvorenie komunikačnej platformy (napríklad webový portál) </w:t>
            </w:r>
            <w:r w:rsidR="007C451A" w:rsidRPr="007C451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každej podporenej </w:t>
            </w:r>
            <w:proofErr w:type="spellStart"/>
            <w:r w:rsidR="007C451A" w:rsidRPr="007C451A">
              <w:rPr>
                <w:rFonts w:eastAsia="Times New Roman" w:cstheme="minorHAnsi"/>
                <w:b/>
                <w:bCs/>
                <w:sz w:val="20"/>
                <w:szCs w:val="20"/>
              </w:rPr>
              <w:t>biobanky</w:t>
            </w:r>
            <w:proofErr w:type="spellEnd"/>
            <w:r w:rsidR="007C451A" w:rsidRPr="007C451A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</w:p>
          <w:p w14:paraId="7EDC3E2A" w14:textId="5A200774" w:rsidR="007C451A" w:rsidRPr="008609FF" w:rsidRDefault="007C451A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 </w:t>
            </w:r>
            <w:r w:rsidRPr="007C451A">
              <w:rPr>
                <w:rFonts w:eastAsia="Times New Roman" w:cstheme="minorHAnsi"/>
                <w:b/>
                <w:bCs/>
                <w:sz w:val="20"/>
                <w:szCs w:val="20"/>
              </w:rPr>
              <w:t>Cieľ: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Vytvorená funkčná a komunikačná platforma (napríklad webový portál) podporenej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obsahujúci štruktúru informácií v zmysle medzinárodnej praxe (napríklad. </w:t>
            </w:r>
            <w:hyperlink r:id="rId9" w:history="1">
              <w:r w:rsidRPr="003B0A6C">
                <w:rPr>
                  <w:rStyle w:val="Hypertextovprepojenie"/>
                  <w:rFonts w:eastAsia="Times New Roman" w:cstheme="minorHAnsi"/>
                  <w:sz w:val="20"/>
                  <w:szCs w:val="20"/>
                </w:rPr>
                <w:t>https://www.bbmri-eric.eu/</w:t>
              </w:r>
            </w:hyperlink>
            <w:r>
              <w:rPr>
                <w:rFonts w:eastAsia="Times New Roman" w:cstheme="minorHAnsi"/>
                <w:sz w:val="20"/>
                <w:szCs w:val="20"/>
              </w:rPr>
              <w:t xml:space="preserve"> ). </w:t>
            </w:r>
            <w:r w:rsidR="0028486E">
              <w:rPr>
                <w:rFonts w:eastAsia="Times New Roman" w:cstheme="minorHAnsi"/>
                <w:sz w:val="20"/>
                <w:szCs w:val="20"/>
              </w:rPr>
              <w:t>Vytvorenie najneskôr do konca implementácie projektu.</w:t>
            </w:r>
          </w:p>
          <w:p w14:paraId="1A7000E3" w14:textId="47C71976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digitalizovaných vzoriek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55DED4B6" w14:textId="77777777" w:rsidR="00A76C7C" w:rsidRPr="004207B3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digitalizovaných vzoriek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>Počet vzoriek zozbieraných a digitalizovaných v </w:t>
            </w:r>
            <w:proofErr w:type="spellStart"/>
            <w:r w:rsidRPr="004207B3">
              <w:rPr>
                <w:rFonts w:eastAsia="Times New Roman" w:cstheme="minorHAnsi"/>
                <w:sz w:val="20"/>
                <w:szCs w:val="20"/>
              </w:rPr>
              <w:t>biobankovom</w:t>
            </w:r>
            <w:proofErr w:type="spellEnd"/>
            <w:r w:rsidRPr="004207B3">
              <w:rPr>
                <w:rFonts w:eastAsia="Times New Roman" w:cstheme="minorHAnsi"/>
                <w:sz w:val="20"/>
                <w:szCs w:val="20"/>
              </w:rPr>
              <w:t xml:space="preserve"> systéme na výskumné účely.</w:t>
            </w:r>
          </w:p>
          <w:p w14:paraId="6093388F" w14:textId="2B977DBE" w:rsidR="00A76C7C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="00771DCF" w:rsidRPr="00771DCF">
              <w:rPr>
                <w:rFonts w:eastAsia="Times New Roman" w:cstheme="minorHAnsi"/>
                <w:sz w:val="20"/>
                <w:szCs w:val="20"/>
              </w:rPr>
              <w:t>Minimálne 500 vzoriek s kompletnými klinickými dátami uloženými v elektronickej databáze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 xml:space="preserve"> pre projekt v rámci cieľa 2a.).</w:t>
            </w:r>
          </w:p>
          <w:p w14:paraId="0AEDBC1D" w14:textId="77777777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Zlepšená integrácia s medzinárodnými normami (ISO 20387)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5D56692B" w14:textId="1C9796EE" w:rsidR="00A76C7C" w:rsidRPr="004207B3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Percentuálna pripravenosť na medzinárodné normy: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4207B3">
              <w:rPr>
                <w:rFonts w:eastAsia="Times New Roman" w:cstheme="minorHAnsi"/>
                <w:sz w:val="20"/>
                <w:szCs w:val="20"/>
              </w:rPr>
              <w:t>Certifikácia alebo hodnotenia pripravenosti pre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80 %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>do konca realizácie projektu</w:t>
            </w:r>
            <w:r w:rsidRPr="004207B3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</w:p>
          <w:p w14:paraId="570D7F25" w14:textId="3A67F168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Cieľ: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Pripravenosť slovenských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na normu ISO 20387, čo zabezpečí súlad s globálnymi štandardmi – platí pre projekty predložené v rámci cieľa 2.</w:t>
            </w:r>
          </w:p>
          <w:p w14:paraId="3BD39731" w14:textId="7B7E4201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Škálovateľnosť</w:t>
            </w:r>
            <w:proofErr w:type="spellEnd"/>
            <w:r w:rsidR="004207B3">
              <w:rPr>
                <w:rFonts w:eastAsia="Times New Roman" w:cstheme="minorHAnsi"/>
                <w:b/>
                <w:bCs/>
                <w:sz w:val="20"/>
                <w:szCs w:val="20"/>
              </w:rPr>
              <w:t>,</w:t>
            </w: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nezávislosť</w:t>
            </w:r>
            <w:r w:rsid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a udržateľnosť </w:t>
            </w:r>
            <w:proofErr w:type="spellStart"/>
            <w:r w:rsidR="004207B3">
              <w:rPr>
                <w:rFonts w:eastAsia="Times New Roman" w:cstheme="minorHAnsi"/>
                <w:b/>
                <w:bCs/>
                <w:sz w:val="20"/>
                <w:szCs w:val="20"/>
              </w:rPr>
              <w:t>biobankovania</w:t>
            </w:r>
            <w:proofErr w:type="spellEnd"/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3F5C0A18" w14:textId="182BD35E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Príprava plánu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udržateľnosti</w:t>
            </w: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biobanky</w:t>
            </w:r>
            <w:proofErr w:type="spellEnd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Plány vytvorené pre každú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biobanku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so špecifickým zameraním.</w:t>
            </w:r>
          </w:p>
          <w:p w14:paraId="48FC05A6" w14:textId="3409BBAF" w:rsidR="00A76C7C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Cieľ: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Každá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biobanka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ku koncu implementácie projektu bude musieť mať vypracovaný plán udržateľnosti zameraný jednak na rozvoj samotnej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a jednak na realizáciu výskumno-vývojových aktivít/projektov – platí pre projekty predložené v rámci cieľa 2. </w:t>
            </w:r>
          </w:p>
          <w:p w14:paraId="07717D5C" w14:textId="77777777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publikácií v medzinárodných databázach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27E2F3E9" w14:textId="0D63ACA4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publikácií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Publikácie vytvorené z dát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 w:rsidR="004207B3" w:rsidRPr="008609FF">
              <w:rPr>
                <w:rFonts w:eastAsia="Times New Roman" w:cstheme="minorHAnsi"/>
                <w:sz w:val="20"/>
                <w:szCs w:val="20"/>
              </w:rPr>
              <w:t xml:space="preserve"> v rámci pilotných výskumno-vývojových aktivít s účasťou žiadateľa/partnera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 v databázach ako Web of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Science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a SCOPUS (časopisy Q1).</w:t>
            </w:r>
          </w:p>
          <w:p w14:paraId="48B4020B" w14:textId="534F3FF0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Vytvoriť aspoň 3 publikácie využívajúce dáta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 w:rsidR="008C22B6" w:rsidRPr="008609FF">
              <w:rPr>
                <w:rFonts w:eastAsia="Times New Roman" w:cstheme="minorHAnsi"/>
                <w:sz w:val="20"/>
                <w:szCs w:val="20"/>
              </w:rPr>
              <w:t xml:space="preserve"> – platí pre projekty predložené v rámci cieľa 2a.) a aspoň 1 publikáciu </w:t>
            </w:r>
            <w:r w:rsidR="003103C0" w:rsidRPr="008609FF">
              <w:rPr>
                <w:rFonts w:eastAsia="Times New Roman" w:cstheme="minorHAnsi"/>
                <w:sz w:val="20"/>
                <w:szCs w:val="20"/>
              </w:rPr>
              <w:t xml:space="preserve"> využívajúce dáta </w:t>
            </w:r>
            <w:proofErr w:type="spellStart"/>
            <w:r w:rsidR="003103C0" w:rsidRPr="008609FF"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 w:rsidR="003103C0" w:rsidRPr="008609F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8C22B6" w:rsidRPr="008609FF">
              <w:rPr>
                <w:rFonts w:eastAsia="Times New Roman" w:cstheme="minorHAnsi"/>
                <w:sz w:val="20"/>
                <w:szCs w:val="20"/>
              </w:rPr>
              <w:t>– platí pre projekt predložené v rámci cieľa 2b.)</w:t>
            </w:r>
          </w:p>
          <w:p w14:paraId="3CBF3604" w14:textId="10D179F6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užívateľov systému</w:t>
            </w:r>
            <w:r w:rsid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/funkčnosť konkrétnej </w:t>
            </w:r>
            <w:proofErr w:type="spellStart"/>
            <w:r w:rsidR="008609FF">
              <w:rPr>
                <w:rFonts w:eastAsia="Times New Roman" w:cstheme="minorHAnsi"/>
                <w:b/>
                <w:bCs/>
                <w:sz w:val="20"/>
                <w:szCs w:val="20"/>
              </w:rPr>
              <w:t>biobanky</w:t>
            </w:r>
            <w:proofErr w:type="spellEnd"/>
            <w:r w:rsidRPr="00A76C7C">
              <w:rPr>
                <w:rFonts w:eastAsia="Times New Roman" w:cstheme="minorHAnsi"/>
                <w:sz w:val="20"/>
                <w:szCs w:val="20"/>
              </w:rPr>
              <w:t>:</w:t>
            </w:r>
          </w:p>
          <w:p w14:paraId="0E87FF03" w14:textId="1612BD21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Počet užívateľov systému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Počet výskumníkov, ktorí používajú </w:t>
            </w:r>
            <w:r w:rsidR="008609FF">
              <w:rPr>
                <w:rFonts w:eastAsia="Times New Roman" w:cstheme="minorHAnsi"/>
                <w:sz w:val="20"/>
                <w:szCs w:val="20"/>
              </w:rPr>
              <w:t xml:space="preserve">konkrétnu </w:t>
            </w:r>
            <w:proofErr w:type="spellStart"/>
            <w:r w:rsidR="008609FF">
              <w:rPr>
                <w:rFonts w:eastAsia="Times New Roman" w:cstheme="minorHAnsi"/>
                <w:sz w:val="20"/>
                <w:szCs w:val="20"/>
              </w:rPr>
              <w:t>biobanku</w:t>
            </w:r>
            <w:proofErr w:type="spellEnd"/>
            <w:r w:rsidR="008609FF">
              <w:rPr>
                <w:rFonts w:eastAsia="Times New Roman" w:cstheme="minorHAnsi"/>
                <w:sz w:val="20"/>
                <w:szCs w:val="20"/>
              </w:rPr>
              <w:t xml:space="preserve"> podporenú v rámci projektu.</w:t>
            </w:r>
          </w:p>
          <w:p w14:paraId="124EDB7A" w14:textId="258FC7A0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Dosiahnuť aspoň 20 aktívnych užívateľov </w:t>
            </w:r>
            <w:r w:rsidR="003103C0" w:rsidRPr="008609FF">
              <w:rPr>
                <w:rFonts w:eastAsia="Times New Roman" w:cstheme="minorHAnsi"/>
                <w:sz w:val="20"/>
                <w:szCs w:val="20"/>
              </w:rPr>
              <w:t>do konca realizácie projektu – platí pre projekty predložené v rámci cieľa 2a.) a aspoň 5 aktívnych užívateľov do konca realizácie projektu – platí pre projekty predložené v rámci cieľa 2b.)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6469270" w14:textId="77777777" w:rsidR="00A76C7C" w:rsidRPr="00A76C7C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Harmonizácia právnych dokumentov:</w:t>
            </w:r>
          </w:p>
          <w:p w14:paraId="0C6CB898" w14:textId="77777777" w:rsidR="00A76C7C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Vyhotovená dokumentácia k informovaným súhlasom a etickým komisiám</w:t>
            </w:r>
          </w:p>
          <w:p w14:paraId="41F253E5" w14:textId="0705FE17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  <w:u w:val="single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Cieľ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Zabezpečiť dokumentáciu k informovaným súhlasom a etickým komisiám podľa štandardov Rady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biobánk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SR</w:t>
            </w:r>
            <w:r w:rsidR="003103C0" w:rsidRPr="008609FF">
              <w:rPr>
                <w:rFonts w:eastAsia="Times New Roman" w:cstheme="minorHAnsi"/>
                <w:sz w:val="20"/>
                <w:szCs w:val="20"/>
              </w:rPr>
              <w:t xml:space="preserve"> – platí pre projekty predložené v rámci cieľa 2</w:t>
            </w:r>
            <w:r w:rsidR="008609FF" w:rsidRPr="008609FF">
              <w:rPr>
                <w:rFonts w:eastAsia="Times New Roman" w:cstheme="minorHAnsi"/>
                <w:sz w:val="20"/>
                <w:szCs w:val="20"/>
              </w:rPr>
              <w:t xml:space="preserve"> – </w:t>
            </w:r>
            <w:r w:rsidR="008609FF" w:rsidRPr="008609FF">
              <w:rPr>
                <w:rFonts w:eastAsia="Times New Roman" w:cstheme="minorHAnsi"/>
                <w:sz w:val="20"/>
                <w:szCs w:val="20"/>
                <w:u w:val="single"/>
              </w:rPr>
              <w:t xml:space="preserve">s výnimkou </w:t>
            </w:r>
            <w:r w:rsidR="00EE228C">
              <w:rPr>
                <w:rFonts w:eastAsia="Times New Roman" w:cstheme="minorHAnsi"/>
                <w:sz w:val="20"/>
                <w:szCs w:val="20"/>
                <w:u w:val="single"/>
              </w:rPr>
              <w:t>aktivity</w:t>
            </w:r>
            <w:r w:rsidR="008609FF" w:rsidRPr="008609FF">
              <w:rPr>
                <w:rFonts w:eastAsia="Times New Roman" w:cstheme="minorHAnsi"/>
                <w:sz w:val="20"/>
                <w:szCs w:val="20"/>
                <w:u w:val="single"/>
              </w:rPr>
              <w:t xml:space="preserve"> zameran</w:t>
            </w:r>
            <w:r w:rsidR="00EE228C">
              <w:rPr>
                <w:rFonts w:eastAsia="Times New Roman" w:cstheme="minorHAnsi"/>
                <w:sz w:val="20"/>
                <w:szCs w:val="20"/>
                <w:u w:val="single"/>
              </w:rPr>
              <w:t>ej</w:t>
            </w:r>
            <w:r w:rsidR="008609FF" w:rsidRPr="008609FF">
              <w:rPr>
                <w:rFonts w:eastAsia="Times New Roman" w:cstheme="minorHAnsi"/>
                <w:sz w:val="20"/>
                <w:szCs w:val="20"/>
                <w:u w:val="single"/>
              </w:rPr>
              <w:t xml:space="preserve"> na digitálnu </w:t>
            </w:r>
            <w:proofErr w:type="spellStart"/>
            <w:r w:rsidR="008609FF" w:rsidRPr="008609FF">
              <w:rPr>
                <w:rFonts w:eastAsia="Times New Roman" w:cstheme="minorHAnsi"/>
                <w:sz w:val="20"/>
                <w:szCs w:val="20"/>
                <w:u w:val="single"/>
              </w:rPr>
              <w:t>biobanku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  <w:u w:val="single"/>
              </w:rPr>
              <w:t>.</w:t>
            </w:r>
          </w:p>
          <w:p w14:paraId="4CCD6A4C" w14:textId="6A70352F" w:rsidR="00A76C7C" w:rsidRPr="008609FF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Škálovateľnosť</w:t>
            </w:r>
            <w:proofErr w:type="spellEnd"/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a nezávislosť </w:t>
            </w:r>
            <w:proofErr w:type="spellStart"/>
            <w:r w:rsidR="004207B3">
              <w:rPr>
                <w:rFonts w:eastAsia="Times New Roman" w:cstheme="minorHAnsi"/>
                <w:b/>
                <w:bCs/>
                <w:sz w:val="20"/>
                <w:szCs w:val="20"/>
              </w:rPr>
              <w:t>biobánk</w:t>
            </w:r>
            <w:proofErr w:type="spellEnd"/>
            <w:r w:rsidR="004207B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na Slovensku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7F73BE19" w14:textId="4A775CE2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Výsledok: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</w:t>
            </w:r>
            <w:r w:rsidR="00EE228C">
              <w:rPr>
                <w:rFonts w:eastAsia="Times New Roman" w:cstheme="minorHAnsi"/>
                <w:sz w:val="20"/>
                <w:szCs w:val="20"/>
              </w:rPr>
              <w:t>a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pripraven</w:t>
            </w:r>
            <w:r w:rsidR="00EE228C">
              <w:rPr>
                <w:rFonts w:eastAsia="Times New Roman" w:cstheme="minorHAnsi"/>
                <w:sz w:val="20"/>
                <w:szCs w:val="20"/>
              </w:rPr>
              <w:t>á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 na nezávislú prevádzku na európskom trhu s možnosťou medzinárodných spoluprác.</w:t>
            </w:r>
          </w:p>
          <w:p w14:paraId="1650B2C8" w14:textId="005D2C69" w:rsidR="00A76C7C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Meranie: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 xml:space="preserve"> Počet medzinárodných partnerstiev a memoránd o spolupráci, cieľom </w:t>
            </w:r>
            <w:r w:rsidR="008609FF">
              <w:rPr>
                <w:rFonts w:eastAsia="Times New Roman" w:cstheme="minorHAnsi"/>
                <w:sz w:val="20"/>
                <w:szCs w:val="20"/>
              </w:rPr>
              <w:t>uzatvoriť zmluvu o spolupráci s minimálne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4A1432">
              <w:rPr>
                <w:rFonts w:eastAsia="Times New Roman" w:cstheme="minorHAnsi"/>
                <w:sz w:val="20"/>
                <w:szCs w:val="20"/>
              </w:rPr>
              <w:t>1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8609FF">
              <w:rPr>
                <w:rFonts w:eastAsia="Times New Roman" w:cstheme="minorHAnsi"/>
                <w:sz w:val="20"/>
                <w:szCs w:val="20"/>
              </w:rPr>
              <w:t>zahraničn</w:t>
            </w:r>
            <w:r w:rsidR="004A1432">
              <w:rPr>
                <w:rFonts w:eastAsia="Times New Roman" w:cstheme="minorHAnsi"/>
                <w:sz w:val="20"/>
                <w:szCs w:val="20"/>
              </w:rPr>
              <w:t>ou</w:t>
            </w:r>
            <w:r w:rsidR="008609FF">
              <w:rPr>
                <w:rFonts w:eastAsia="Times New Roman" w:cstheme="minorHAnsi"/>
                <w:sz w:val="20"/>
                <w:szCs w:val="20"/>
              </w:rPr>
              <w:t xml:space="preserve"> inštitúci</w:t>
            </w:r>
            <w:r w:rsidR="004A1432">
              <w:rPr>
                <w:rFonts w:eastAsia="Times New Roman" w:cstheme="minorHAnsi"/>
                <w:sz w:val="20"/>
                <w:szCs w:val="20"/>
              </w:rPr>
              <w:t>ou</w:t>
            </w:r>
            <w:r w:rsidR="008609FF">
              <w:rPr>
                <w:rFonts w:eastAsia="Times New Roman" w:cstheme="minorHAnsi"/>
                <w:sz w:val="20"/>
                <w:szCs w:val="20"/>
              </w:rPr>
              <w:t xml:space="preserve"> do konca implementácie projektu.</w:t>
            </w:r>
          </w:p>
          <w:p w14:paraId="30E75323" w14:textId="77777777" w:rsidR="00A76C7C" w:rsidRPr="008609FF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Prepojenie s EOCD a otvorenými dátami zdravotníctva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356D2D33" w14:textId="77777777" w:rsidR="00A76C7C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Výsledok:</w:t>
            </w:r>
            <w:r w:rsidRPr="00A76C7C">
              <w:rPr>
                <w:rFonts w:eastAsia="Times New Roman" w:cstheme="minorHAnsi"/>
                <w:sz w:val="20"/>
                <w:szCs w:val="20"/>
              </w:rPr>
              <w:t xml:space="preserve"> Zabezpečenie kompatibility dát </w:t>
            </w:r>
            <w:proofErr w:type="spellStart"/>
            <w:r w:rsidRPr="00A76C7C">
              <w:rPr>
                <w:rFonts w:eastAsia="Times New Roman" w:cstheme="minorHAnsi"/>
                <w:sz w:val="20"/>
                <w:szCs w:val="20"/>
              </w:rPr>
              <w:t>biobanky</w:t>
            </w:r>
            <w:proofErr w:type="spellEnd"/>
            <w:r w:rsidRPr="00A76C7C">
              <w:rPr>
                <w:rFonts w:eastAsia="Times New Roman" w:cstheme="minorHAnsi"/>
                <w:sz w:val="20"/>
                <w:szCs w:val="20"/>
              </w:rPr>
              <w:t xml:space="preserve"> s usmerneniami EOCD a otvorenými dátami zdravotníctva.</w:t>
            </w:r>
          </w:p>
          <w:p w14:paraId="386BBBF2" w14:textId="67106CFA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Meranie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Implementácia platforiem na zdieľanie dát podľa EOCD a prínos k otvoreným dátam, dosiahnutie 80 % kompatibility do </w:t>
            </w:r>
            <w:r w:rsidR="008609FF">
              <w:rPr>
                <w:rFonts w:eastAsia="Times New Roman" w:cstheme="minorHAnsi"/>
                <w:sz w:val="20"/>
                <w:szCs w:val="20"/>
              </w:rPr>
              <w:t>konca realizácie projektu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1815F228" w14:textId="77777777" w:rsidR="00A76C7C" w:rsidRPr="008609FF" w:rsidRDefault="00A76C7C">
            <w:pPr>
              <w:numPr>
                <w:ilvl w:val="0"/>
                <w:numId w:val="20"/>
              </w:numPr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Vzdelávací dopad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>:</w:t>
            </w:r>
          </w:p>
          <w:p w14:paraId="1CF7A7B3" w14:textId="0A3BDC3C" w:rsidR="00A76C7C" w:rsidRPr="008609FF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Výsledok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Vytvorenie vzdelávacieho </w:t>
            </w:r>
            <w:r w:rsidR="008609FF">
              <w:rPr>
                <w:rFonts w:eastAsia="Times New Roman" w:cstheme="minorHAnsi"/>
                <w:sz w:val="20"/>
                <w:szCs w:val="20"/>
              </w:rPr>
              <w:t>programu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 o 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biobankovaní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a vyškolenie novej generácie výskumníkov a technikov v oblasti </w:t>
            </w:r>
            <w:proofErr w:type="spellStart"/>
            <w:r w:rsidRPr="008609FF">
              <w:rPr>
                <w:rFonts w:eastAsia="Times New Roman" w:cstheme="minorHAnsi"/>
                <w:sz w:val="20"/>
                <w:szCs w:val="20"/>
              </w:rPr>
              <w:t>biobankingu</w:t>
            </w:r>
            <w:proofErr w:type="spellEnd"/>
            <w:r w:rsidRPr="008609FF">
              <w:rPr>
                <w:rFonts w:eastAsia="Times New Roman" w:cstheme="minorHAnsi"/>
                <w:sz w:val="20"/>
                <w:szCs w:val="20"/>
              </w:rPr>
              <w:t xml:space="preserve"> a správy dát.</w:t>
            </w:r>
          </w:p>
          <w:p w14:paraId="4B6663BD" w14:textId="126AA461" w:rsidR="00153FA3" w:rsidRPr="00A76C7C" w:rsidRDefault="00A76C7C">
            <w:pPr>
              <w:numPr>
                <w:ilvl w:val="0"/>
                <w:numId w:val="16"/>
              </w:numPr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76C7C">
              <w:rPr>
                <w:rFonts w:eastAsia="Times New Roman" w:cstheme="minorHAnsi"/>
                <w:b/>
                <w:bCs/>
                <w:sz w:val="20"/>
                <w:szCs w:val="20"/>
              </w:rPr>
              <w:t>Meranie</w:t>
            </w:r>
            <w:r w:rsidRPr="008609F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: 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>50 absolventov</w:t>
            </w:r>
            <w:r w:rsidR="008609FF">
              <w:rPr>
                <w:rFonts w:eastAsia="Times New Roman" w:cstheme="minorHAnsi"/>
                <w:sz w:val="20"/>
                <w:szCs w:val="20"/>
              </w:rPr>
              <w:t xml:space="preserve"> (pre projekt predložený v rámci cieľa 2a.)) a 20 absolventov (pre projekt predložený v rámci cieľa 2b.))</w:t>
            </w:r>
            <w:r w:rsidRPr="008609FF">
              <w:rPr>
                <w:rFonts w:eastAsia="Times New Roman" w:cstheme="minorHAnsi"/>
                <w:sz w:val="20"/>
                <w:szCs w:val="20"/>
              </w:rPr>
              <w:t xml:space="preserve"> vzdelávacích aktivít projektu s pokračujúcimi programami profesionálneho rozvoja v súlade s normou ISO 20387.</w:t>
            </w:r>
          </w:p>
        </w:tc>
      </w:tr>
      <w:tr w:rsidR="003F2829" w14:paraId="3E3F294B" w14:textId="77777777" w:rsidTr="00487DEF">
        <w:trPr>
          <w:trHeight w:val="80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1F4C27A" w14:textId="138827EA" w:rsidR="003F2829" w:rsidRDefault="003F2829" w:rsidP="003F2829">
            <w:pPr>
              <w:ind w:left="344" w:right="94" w:hanging="284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B02A6F" w:rsidRPr="00747EEB">
              <w:rPr>
                <w:b/>
                <w:sz w:val="20"/>
              </w:rPr>
              <w:t>Oprávnenosť aktivít projektu</w:t>
            </w:r>
            <w:r w:rsidRPr="00747EEB">
              <w:rPr>
                <w:b/>
                <w:sz w:val="20"/>
              </w:rPr>
              <w:t xml:space="preserve"> 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F1FA" w14:textId="5A847D88" w:rsidR="004A1432" w:rsidRDefault="00B02A6F" w:rsidP="00002DC2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002DC2">
              <w:rPr>
                <w:b/>
                <w:bCs/>
                <w:sz w:val="20"/>
                <w:szCs w:val="20"/>
              </w:rPr>
              <w:t xml:space="preserve">Hlavné aktivity projektu musia byť vo vecnom súlade </w:t>
            </w:r>
            <w:r w:rsidR="004A1432">
              <w:rPr>
                <w:b/>
                <w:bCs/>
                <w:sz w:val="20"/>
                <w:szCs w:val="20"/>
              </w:rPr>
              <w:t>s nasledovným opatrením a</w:t>
            </w:r>
            <w:r w:rsidRPr="00002DC2">
              <w:rPr>
                <w:b/>
                <w:bCs/>
                <w:sz w:val="20"/>
                <w:szCs w:val="20"/>
              </w:rPr>
              <w:t xml:space="preserve"> oprávnen</w:t>
            </w:r>
            <w:r w:rsidR="004A1432">
              <w:rPr>
                <w:b/>
                <w:bCs/>
                <w:sz w:val="20"/>
                <w:szCs w:val="20"/>
              </w:rPr>
              <w:t>ou</w:t>
            </w:r>
            <w:r w:rsidRPr="00002DC2">
              <w:rPr>
                <w:b/>
                <w:bCs/>
                <w:sz w:val="20"/>
                <w:szCs w:val="20"/>
              </w:rPr>
              <w:t xml:space="preserve"> aktiv</w:t>
            </w:r>
            <w:r w:rsidR="004A1432">
              <w:rPr>
                <w:b/>
                <w:bCs/>
                <w:sz w:val="20"/>
                <w:szCs w:val="20"/>
              </w:rPr>
              <w:t>itou</w:t>
            </w:r>
            <w:r w:rsidRPr="00002DC2">
              <w:rPr>
                <w:b/>
                <w:bCs/>
                <w:sz w:val="20"/>
                <w:szCs w:val="20"/>
              </w:rPr>
              <w:t xml:space="preserve"> PSK</w:t>
            </w:r>
            <w:r w:rsidR="004A1432">
              <w:rPr>
                <w:b/>
                <w:bCs/>
                <w:sz w:val="20"/>
                <w:szCs w:val="20"/>
              </w:rPr>
              <w:t>:</w:t>
            </w:r>
            <w:r w:rsidRPr="00002DC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4B1CF90" w14:textId="4B94F4F3" w:rsidR="00B02A6F" w:rsidRPr="004A1432" w:rsidRDefault="00B02A6F" w:rsidP="004A1432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1432">
              <w:rPr>
                <w:sz w:val="20"/>
                <w:szCs w:val="20"/>
              </w:rPr>
              <w:t>opatreni</w:t>
            </w:r>
            <w:r w:rsidR="004A1432">
              <w:rPr>
                <w:sz w:val="20"/>
                <w:szCs w:val="20"/>
              </w:rPr>
              <w:t>e</w:t>
            </w:r>
            <w:r w:rsidRPr="004A1432">
              <w:rPr>
                <w:sz w:val="20"/>
                <w:szCs w:val="20"/>
              </w:rPr>
              <w:t xml:space="preserve"> 1.1.</w:t>
            </w:r>
            <w:r w:rsidR="00002DC2" w:rsidRPr="004A1432">
              <w:rPr>
                <w:sz w:val="20"/>
                <w:szCs w:val="20"/>
              </w:rPr>
              <w:t>4</w:t>
            </w:r>
            <w:r w:rsidRPr="004A1432">
              <w:rPr>
                <w:sz w:val="20"/>
                <w:szCs w:val="20"/>
              </w:rPr>
              <w:t xml:space="preserve">. </w:t>
            </w:r>
            <w:r w:rsidR="00002DC2" w:rsidRPr="004A1432">
              <w:rPr>
                <w:sz w:val="20"/>
                <w:szCs w:val="20"/>
              </w:rPr>
              <w:t>Podpora optimalizácie rozvoja a modernizácie výskumnej infraštruktúry je oprávnená v rámci tejto výzvy</w:t>
            </w:r>
            <w:r w:rsidRPr="004A1432">
              <w:rPr>
                <w:sz w:val="20"/>
                <w:szCs w:val="20"/>
              </w:rPr>
              <w:t xml:space="preserve"> nasledovn</w:t>
            </w:r>
            <w:r w:rsidR="00002DC2" w:rsidRPr="004A1432">
              <w:rPr>
                <w:sz w:val="20"/>
                <w:szCs w:val="20"/>
              </w:rPr>
              <w:t>á</w:t>
            </w:r>
            <w:r w:rsidRPr="004A1432">
              <w:rPr>
                <w:sz w:val="20"/>
                <w:szCs w:val="20"/>
              </w:rPr>
              <w:t xml:space="preserve"> aktivit</w:t>
            </w:r>
            <w:r w:rsidR="00002DC2" w:rsidRPr="004A1432">
              <w:rPr>
                <w:sz w:val="20"/>
                <w:szCs w:val="20"/>
              </w:rPr>
              <w:t>a</w:t>
            </w:r>
            <w:r w:rsidRPr="004A1432">
              <w:rPr>
                <w:sz w:val="20"/>
                <w:szCs w:val="20"/>
              </w:rPr>
              <w:t xml:space="preserve"> PSK:</w:t>
            </w:r>
          </w:p>
          <w:p w14:paraId="4DEE684D" w14:textId="26354EF2" w:rsidR="00002DC2" w:rsidRPr="00002DC2" w:rsidRDefault="004A1432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002DC2" w:rsidRPr="00002DC2">
              <w:rPr>
                <w:sz w:val="20"/>
                <w:szCs w:val="20"/>
              </w:rPr>
              <w:t>ktivita „Infraštruktúra, technológie a spolupráca“ a konkrétne:</w:t>
            </w:r>
          </w:p>
          <w:p w14:paraId="28CE04E0" w14:textId="77777777" w:rsidR="00FD2856" w:rsidRDefault="00FD2856">
            <w:pPr>
              <w:pStyle w:val="Odsekzoznamu"/>
              <w:numPr>
                <w:ilvl w:val="1"/>
                <w:numId w:val="7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C82152">
              <w:rPr>
                <w:sz w:val="20"/>
                <w:szCs w:val="20"/>
              </w:rPr>
              <w:t>dobudovanie výskumných infraštruktúr pre riešenie celospoločenských výziev a mimoriadnych situácií;</w:t>
            </w:r>
          </w:p>
          <w:p w14:paraId="5B738E86" w14:textId="61159378" w:rsidR="00B02A6F" w:rsidRDefault="00B02A6F" w:rsidP="00B02A6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</w:p>
          <w:p w14:paraId="752C0E36" w14:textId="4E0B58FE" w:rsidR="007C0FBF" w:rsidRDefault="007C0FBF" w:rsidP="00B02A6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rámci výzvy sú oprávnené odborné aktivity členené na aktivity nevýskumného charakteru a aktivity výskumného charakteru.</w:t>
            </w:r>
            <w:r w:rsidR="004B5A88">
              <w:rPr>
                <w:sz w:val="20"/>
                <w:szCs w:val="20"/>
              </w:rPr>
              <w:t xml:space="preserve"> Subjekt priradí typ nevýskumnej aktivity projektu k jednotlivým oprávneným činnostia</w:t>
            </w:r>
            <w:r w:rsidR="004F6550">
              <w:rPr>
                <w:sz w:val="20"/>
                <w:szCs w:val="20"/>
              </w:rPr>
              <w:t xml:space="preserve">m. </w:t>
            </w:r>
            <w:r>
              <w:rPr>
                <w:sz w:val="20"/>
                <w:szCs w:val="20"/>
              </w:rPr>
              <w:t xml:space="preserve">V rámci projektu sú oprávnené nasledovné </w:t>
            </w:r>
            <w:r w:rsidR="004F6550">
              <w:rPr>
                <w:sz w:val="20"/>
                <w:szCs w:val="20"/>
              </w:rPr>
              <w:t>odborné činnosti</w:t>
            </w:r>
            <w:r>
              <w:rPr>
                <w:sz w:val="20"/>
                <w:szCs w:val="20"/>
              </w:rPr>
              <w:t xml:space="preserve"> nevýskumného charakteru</w:t>
            </w:r>
            <w:r w:rsidR="00C8075A">
              <w:rPr>
                <w:sz w:val="20"/>
                <w:szCs w:val="20"/>
              </w:rPr>
              <w:t xml:space="preserve"> (pozri aj PPP 2) – výhradne iba pre subjekty, ktorých aktivity sú implementované mimo schémy štátnej pomoci:</w:t>
            </w:r>
          </w:p>
          <w:p w14:paraId="0A60AA3A" w14:textId="07A03871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B5A88">
              <w:rPr>
                <w:sz w:val="20"/>
                <w:szCs w:val="20"/>
              </w:rPr>
              <w:t xml:space="preserve">bnova a obstaranie výskumnej infraštruktúry a prístrojového vybavenia </w:t>
            </w:r>
          </w:p>
          <w:p w14:paraId="396F1E28" w14:textId="1CA298DC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4B5A88">
              <w:rPr>
                <w:sz w:val="20"/>
                <w:szCs w:val="20"/>
              </w:rPr>
              <w:t xml:space="preserve">oordinačná činnosť v rámci národného </w:t>
            </w:r>
            <w:proofErr w:type="spellStart"/>
            <w:r w:rsidRPr="004B5A88">
              <w:rPr>
                <w:sz w:val="20"/>
                <w:szCs w:val="20"/>
              </w:rPr>
              <w:t>biobankového</w:t>
            </w:r>
            <w:proofErr w:type="spellEnd"/>
            <w:r w:rsidRPr="004B5A88">
              <w:rPr>
                <w:sz w:val="20"/>
                <w:szCs w:val="20"/>
              </w:rPr>
              <w:t xml:space="preserve"> systému, vrátane metodickej činnosti a vytvárania spoločných metodík, štandardov a pravidiel,</w:t>
            </w:r>
          </w:p>
          <w:p w14:paraId="76E4A903" w14:textId="50A67764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4B5A88">
              <w:rPr>
                <w:sz w:val="20"/>
                <w:szCs w:val="20"/>
              </w:rPr>
              <w:t xml:space="preserve">apájanie sa do medzinárodnej spolupráce v oblasti výskumného </w:t>
            </w:r>
            <w:proofErr w:type="spellStart"/>
            <w:r w:rsidRPr="004B5A88">
              <w:rPr>
                <w:sz w:val="20"/>
                <w:szCs w:val="20"/>
              </w:rPr>
              <w:t>biobankovania</w:t>
            </w:r>
            <w:proofErr w:type="spellEnd"/>
            <w:r w:rsidRPr="004B5A88">
              <w:rPr>
                <w:sz w:val="20"/>
                <w:szCs w:val="20"/>
              </w:rPr>
              <w:t>, sieťovanie, nadviazanie medzinárodných spoluprác,</w:t>
            </w:r>
          </w:p>
          <w:p w14:paraId="3D34D90B" w14:textId="78127DCF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B5A88">
              <w:rPr>
                <w:sz w:val="20"/>
                <w:szCs w:val="20"/>
              </w:rPr>
              <w:t xml:space="preserve">obilita ľudských zdrojov a výmenných pobytov zamestnancov medzi </w:t>
            </w:r>
            <w:proofErr w:type="spellStart"/>
            <w:r w:rsidRPr="004B5A88">
              <w:rPr>
                <w:sz w:val="20"/>
                <w:szCs w:val="20"/>
              </w:rPr>
              <w:t>biobankami</w:t>
            </w:r>
            <w:proofErr w:type="spellEnd"/>
            <w:r w:rsidRPr="004B5A88">
              <w:rPr>
                <w:sz w:val="20"/>
                <w:szCs w:val="20"/>
              </w:rPr>
              <w:t>,</w:t>
            </w:r>
          </w:p>
          <w:p w14:paraId="2F7745B3" w14:textId="106916EF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B5A88">
              <w:rPr>
                <w:sz w:val="20"/>
                <w:szCs w:val="20"/>
              </w:rPr>
              <w:t xml:space="preserve">rganizácia programov odbornej prípravy, seminárov a konferencií s cieľom ,podporovať výmenu poznatkov a zvyšovania povedomia aj pacientov a verejnosti o dôležitosti a význame výskumného </w:t>
            </w:r>
            <w:proofErr w:type="spellStart"/>
            <w:r w:rsidRPr="004B5A88">
              <w:rPr>
                <w:sz w:val="20"/>
                <w:szCs w:val="20"/>
              </w:rPr>
              <w:t>biobankovania</w:t>
            </w:r>
            <w:proofErr w:type="spellEnd"/>
          </w:p>
          <w:p w14:paraId="0DB9C18B" w14:textId="07D67D58" w:rsidR="004B5A88" w:rsidRPr="004B5A88" w:rsidRDefault="004B5A88" w:rsidP="004B5A88">
            <w:pPr>
              <w:pStyle w:val="Odsekzoznamu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B5A88">
              <w:rPr>
                <w:sz w:val="20"/>
                <w:szCs w:val="20"/>
              </w:rPr>
              <w:t xml:space="preserve">anažment transferu technológií a ochrany duševného vlastníctva </w:t>
            </w:r>
          </w:p>
          <w:p w14:paraId="78B33C57" w14:textId="77777777" w:rsidR="00C8075A" w:rsidRDefault="00C8075A" w:rsidP="00B02A6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</w:p>
          <w:p w14:paraId="46E4CB33" w14:textId="77777777" w:rsidR="007C0FBF" w:rsidRPr="00002DC2" w:rsidRDefault="007C0FBF" w:rsidP="00B02A6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</w:p>
          <w:p w14:paraId="7B2FA2F0" w14:textId="225D381B" w:rsidR="00B02A6F" w:rsidRPr="00002DC2" w:rsidRDefault="00B02A6F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sz w:val="20"/>
                <w:szCs w:val="20"/>
              </w:rPr>
              <w:t>Subjekt priradí všetky</w:t>
            </w:r>
            <w:r w:rsidRPr="00002DC2">
              <w:rPr>
                <w:b/>
                <w:sz w:val="20"/>
                <w:szCs w:val="20"/>
              </w:rPr>
              <w:t xml:space="preserve"> hlavné</w:t>
            </w:r>
            <w:r w:rsidR="00C8075A">
              <w:rPr>
                <w:b/>
                <w:sz w:val="20"/>
                <w:szCs w:val="20"/>
              </w:rPr>
              <w:t xml:space="preserve"> výskumné</w:t>
            </w:r>
            <w:r w:rsidRPr="00002DC2">
              <w:rPr>
                <w:b/>
                <w:sz w:val="20"/>
                <w:szCs w:val="20"/>
              </w:rPr>
              <w:t xml:space="preserve"> aktivity projektu </w:t>
            </w:r>
            <w:r w:rsidRPr="00002DC2">
              <w:rPr>
                <w:sz w:val="20"/>
                <w:szCs w:val="20"/>
              </w:rPr>
              <w:t>k jednotlivým oprávneným</w:t>
            </w:r>
            <w:r w:rsidRPr="00002DC2">
              <w:rPr>
                <w:b/>
                <w:sz w:val="20"/>
                <w:szCs w:val="20"/>
              </w:rPr>
              <w:t xml:space="preserve"> typom výskumu </w:t>
            </w:r>
            <w:r w:rsidRPr="00002DC2">
              <w:rPr>
                <w:sz w:val="20"/>
                <w:szCs w:val="20"/>
              </w:rPr>
              <w:t>v závislosti od kategórie subjektu.</w:t>
            </w:r>
            <w:r w:rsidRPr="00002DC2">
              <w:rPr>
                <w:b/>
                <w:sz w:val="20"/>
                <w:szCs w:val="20"/>
              </w:rPr>
              <w:t xml:space="preserve"> </w:t>
            </w:r>
          </w:p>
          <w:p w14:paraId="6D8ABF7B" w14:textId="77777777" w:rsidR="00B02A6F" w:rsidRPr="00002DC2" w:rsidRDefault="00B02A6F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7EE0B9E8" w14:textId="77777777" w:rsidR="00B02A6F" w:rsidRPr="00002DC2" w:rsidRDefault="00B02A6F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>V rámci projektu sú oprávnené nasledovné typy výskumu:</w:t>
            </w:r>
          </w:p>
          <w:p w14:paraId="2829BAF5" w14:textId="4479719B" w:rsidR="00B02A6F" w:rsidRPr="00002DC2" w:rsidRDefault="00B02A6F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 xml:space="preserve">nezávislý výskum a vývoj </w:t>
            </w:r>
            <w:r w:rsidRPr="00002DC2">
              <w:rPr>
                <w:sz w:val="20"/>
                <w:szCs w:val="20"/>
              </w:rPr>
              <w:t xml:space="preserve">– realizujú subjekty </w:t>
            </w:r>
            <w:r w:rsidR="00C14AB7" w:rsidRPr="00002DC2">
              <w:rPr>
                <w:sz w:val="20"/>
                <w:szCs w:val="20"/>
              </w:rPr>
              <w:t>realizujú subjekty</w:t>
            </w:r>
            <w:r w:rsidR="00C14AB7">
              <w:rPr>
                <w:sz w:val="20"/>
                <w:szCs w:val="20"/>
              </w:rPr>
              <w:t>, ktorých plánované aktivity sú implementované mimo schémy štátnej pomoci,</w:t>
            </w:r>
          </w:p>
          <w:p w14:paraId="1EA9720A" w14:textId="7295053D" w:rsidR="00B02A6F" w:rsidRPr="00002DC2" w:rsidRDefault="00B02A6F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>priemyselný výskum</w:t>
            </w:r>
            <w:r w:rsidR="007C0FBF">
              <w:rPr>
                <w:rStyle w:val="Odkaznapoznmkupodiarou"/>
                <w:b/>
                <w:sz w:val="20"/>
                <w:szCs w:val="20"/>
              </w:rPr>
              <w:footnoteReference w:id="13"/>
            </w:r>
            <w:r w:rsidRPr="00002DC2">
              <w:rPr>
                <w:b/>
                <w:sz w:val="20"/>
                <w:szCs w:val="20"/>
              </w:rPr>
              <w:t xml:space="preserve"> </w:t>
            </w:r>
            <w:r w:rsidRPr="00002DC2">
              <w:rPr>
                <w:sz w:val="20"/>
                <w:szCs w:val="20"/>
              </w:rPr>
              <w:t xml:space="preserve">– realizujú subjekty </w:t>
            </w:r>
            <w:r w:rsidR="00C14AB7" w:rsidRPr="00002DC2">
              <w:rPr>
                <w:sz w:val="20"/>
                <w:szCs w:val="20"/>
              </w:rPr>
              <w:t>realizujú subjekty</w:t>
            </w:r>
            <w:r w:rsidR="00C14AB7">
              <w:rPr>
                <w:sz w:val="20"/>
                <w:szCs w:val="20"/>
              </w:rPr>
              <w:t>, ktorých plánované aktivity sú implementované v rámci schémy štátnej pomoci,</w:t>
            </w:r>
          </w:p>
          <w:p w14:paraId="3E264891" w14:textId="2B9C5FE7" w:rsidR="00B02A6F" w:rsidRPr="00002DC2" w:rsidRDefault="00B02A6F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>experimentálny vývoj</w:t>
            </w:r>
            <w:r w:rsidR="007C0FBF">
              <w:rPr>
                <w:rStyle w:val="Odkaznapoznmkupodiarou"/>
                <w:b/>
                <w:sz w:val="20"/>
                <w:szCs w:val="20"/>
              </w:rPr>
              <w:footnoteReference w:id="14"/>
            </w:r>
            <w:r w:rsidRPr="00002DC2">
              <w:rPr>
                <w:b/>
                <w:sz w:val="20"/>
                <w:szCs w:val="20"/>
              </w:rPr>
              <w:t xml:space="preserve"> </w:t>
            </w:r>
            <w:r w:rsidRPr="00002DC2">
              <w:rPr>
                <w:sz w:val="20"/>
                <w:szCs w:val="20"/>
              </w:rPr>
              <w:t xml:space="preserve">– realizujú subjekty </w:t>
            </w:r>
            <w:r w:rsidR="00C14AB7" w:rsidRPr="00002DC2">
              <w:rPr>
                <w:sz w:val="20"/>
                <w:szCs w:val="20"/>
              </w:rPr>
              <w:t>realizujú subjekty</w:t>
            </w:r>
            <w:r w:rsidR="00C14AB7">
              <w:rPr>
                <w:sz w:val="20"/>
                <w:szCs w:val="20"/>
              </w:rPr>
              <w:t>, ktorých plánované aktivity sú implementované v rámci schémy štátnej pomoci,</w:t>
            </w:r>
          </w:p>
          <w:p w14:paraId="500E5F4B" w14:textId="6228A1DD" w:rsidR="00B02A6F" w:rsidRDefault="00B02A6F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4BD69651" w14:textId="5ED264BC" w:rsidR="006D4329" w:rsidRDefault="00FD2856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="006D4329">
              <w:rPr>
                <w:b/>
                <w:sz w:val="20"/>
                <w:szCs w:val="20"/>
              </w:rPr>
              <w:t>yp aktivity „základný výskum“ je neoprávnený pre všetky subjekty.</w:t>
            </w:r>
          </w:p>
          <w:p w14:paraId="0C686091" w14:textId="77777777" w:rsidR="006D4329" w:rsidRPr="00002DC2" w:rsidRDefault="006D4329" w:rsidP="00B02A6F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</w:p>
          <w:p w14:paraId="48B78209" w14:textId="5DBAB7DE" w:rsidR="00B02A6F" w:rsidRPr="00002DC2" w:rsidRDefault="00B02A6F" w:rsidP="00B02A6F">
            <w:pPr>
              <w:tabs>
                <w:tab w:val="left" w:pos="1695"/>
              </w:tabs>
              <w:spacing w:after="120"/>
              <w:jc w:val="both"/>
              <w:rPr>
                <w:bCs/>
                <w:sz w:val="20"/>
                <w:szCs w:val="20"/>
              </w:rPr>
            </w:pPr>
            <w:r w:rsidRPr="00002DC2">
              <w:rPr>
                <w:bCs/>
                <w:sz w:val="20"/>
                <w:szCs w:val="20"/>
              </w:rPr>
              <w:t>Realizácia aktivít sa môže časovo prelínať. Maximálny možný podiel celkových oprávnených výdavkov každej z typov aktivít projektu na celkových oprávnených výdavkoch projektu ako celku nie je stanovený.</w:t>
            </w:r>
          </w:p>
          <w:p w14:paraId="7E865DC6" w14:textId="77777777" w:rsidR="000E76F4" w:rsidRDefault="00B02A6F" w:rsidP="00B02A6F">
            <w:pPr>
              <w:tabs>
                <w:tab w:val="left" w:pos="1695"/>
              </w:tabs>
              <w:spacing w:after="120"/>
              <w:jc w:val="both"/>
              <w:rPr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>Zároveň musí platiť</w:t>
            </w:r>
            <w:r w:rsidRPr="00002DC2">
              <w:rPr>
                <w:sz w:val="20"/>
                <w:szCs w:val="20"/>
              </w:rPr>
              <w:t>, že plánovaný výskumný a/alebo vývojový</w:t>
            </w:r>
            <w:r w:rsidRPr="00002DC2">
              <w:rPr>
                <w:b/>
                <w:sz w:val="20"/>
                <w:szCs w:val="20"/>
              </w:rPr>
              <w:t xml:space="preserve"> výstup projektu nie je verejne známy, prípadne dostupný </w:t>
            </w:r>
            <w:r w:rsidRPr="00002DC2">
              <w:rPr>
                <w:sz w:val="20"/>
                <w:szCs w:val="20"/>
              </w:rPr>
              <w:t>a subjektu nie sú (po vynaložení maximálnej odbornej starostlivosti v rámci prípravy projektu) známe skutočnosti, ktoré by nasvedčovali tomu, že plánovaný výstup je verejne známy, prípadne dostupný</w:t>
            </w:r>
            <w:r w:rsidR="000E76F4">
              <w:rPr>
                <w:sz w:val="20"/>
                <w:szCs w:val="20"/>
              </w:rPr>
              <w:t xml:space="preserve">. </w:t>
            </w:r>
            <w:r w:rsidRPr="00002DC2">
              <w:rPr>
                <w:sz w:val="20"/>
                <w:szCs w:val="20"/>
              </w:rPr>
              <w:t xml:space="preserve"> </w:t>
            </w:r>
          </w:p>
          <w:p w14:paraId="5C801FE4" w14:textId="088B39A8" w:rsidR="00002DC2" w:rsidRPr="00002DC2" w:rsidRDefault="00B02A6F" w:rsidP="00002DC2">
            <w:pPr>
              <w:spacing w:line="239" w:lineRule="auto"/>
              <w:ind w:left="29"/>
              <w:jc w:val="both"/>
              <w:rPr>
                <w:sz w:val="20"/>
                <w:szCs w:val="20"/>
              </w:rPr>
            </w:pPr>
            <w:r w:rsidRPr="00002DC2">
              <w:rPr>
                <w:b/>
                <w:sz w:val="20"/>
                <w:szCs w:val="20"/>
              </w:rPr>
              <w:t xml:space="preserve">Hlavné aktivity projektu musia byť taktiež vo vecnom súlade s </w:t>
            </w:r>
            <w:r w:rsidRPr="00002DC2">
              <w:rPr>
                <w:b/>
                <w:bCs/>
                <w:sz w:val="20"/>
                <w:szCs w:val="20"/>
              </w:rPr>
              <w:t>RIS3 SK 2021+</w:t>
            </w:r>
            <w:r w:rsidRPr="00002DC2">
              <w:rPr>
                <w:sz w:val="20"/>
                <w:szCs w:val="20"/>
              </w:rPr>
              <w:t>,</w:t>
            </w:r>
            <w:r w:rsidR="00002DC2" w:rsidRPr="00002DC2">
              <w:rPr>
                <w:sz w:val="20"/>
                <w:szCs w:val="20"/>
              </w:rPr>
              <w:t xml:space="preserve"> pričom žiadateľ dokladuje súlad predloženej </w:t>
            </w:r>
            <w:proofErr w:type="spellStart"/>
            <w:r w:rsidR="00002DC2" w:rsidRPr="00002DC2">
              <w:rPr>
                <w:sz w:val="20"/>
                <w:szCs w:val="20"/>
              </w:rPr>
              <w:t>ŽoNFP</w:t>
            </w:r>
            <w:proofErr w:type="spellEnd"/>
            <w:r w:rsidR="00002DC2" w:rsidRPr="00002DC2">
              <w:rPr>
                <w:sz w:val="20"/>
                <w:szCs w:val="20"/>
              </w:rPr>
              <w:t xml:space="preserve"> s SK RIS3 2021+ v nasledovnej štruktúre:</w:t>
            </w:r>
          </w:p>
          <w:p w14:paraId="3A544C63" w14:textId="77777777" w:rsidR="00002DC2" w:rsidRPr="00002DC2" w:rsidRDefault="00002DC2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002DC2">
              <w:rPr>
                <w:bCs/>
                <w:sz w:val="20"/>
                <w:szCs w:val="20"/>
              </w:rPr>
              <w:t>schopnosť projektu prispieť k napĺňaniu strategických cieľov stratégie SK RIS3 2021+ (Strategické ciele SK RIS3 2021+ sú súčasťou Kapitoly 2.2 stratégie)</w:t>
            </w:r>
          </w:p>
          <w:p w14:paraId="4F0354A5" w14:textId="59EF5D3F" w:rsidR="00002DC2" w:rsidRPr="00002DC2" w:rsidRDefault="00002DC2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002DC2">
              <w:rPr>
                <w:bCs/>
                <w:sz w:val="20"/>
                <w:szCs w:val="20"/>
              </w:rPr>
              <w:t xml:space="preserve">akým spôsobom bude projekt v rámci prioritnej oblasti Domény Zdravá spoločnosť prispievať k dosiahnutiu transformačného cieľa, alebo transformačných cieľov. (popis musí </w:t>
            </w:r>
            <w:r w:rsidRPr="00002DC2">
              <w:rPr>
                <w:bCs/>
                <w:sz w:val="20"/>
                <w:szCs w:val="20"/>
              </w:rPr>
              <w:lastRenderedPageBreak/>
              <w:t>zohľadňovať cieľový stav Transformačného cieľa prioritnej oblasti Domény uvedený v Transformačnej mape prioritnej oblasti).</w:t>
            </w:r>
          </w:p>
          <w:p w14:paraId="487D2402" w14:textId="1B312EC6" w:rsidR="004D37EF" w:rsidRPr="00F5291E" w:rsidRDefault="00002DC2" w:rsidP="00F5291E">
            <w:pPr>
              <w:pStyle w:val="Odsekzoznamu"/>
              <w:numPr>
                <w:ilvl w:val="0"/>
                <w:numId w:val="6"/>
              </w:numPr>
              <w:tabs>
                <w:tab w:val="left" w:pos="1695"/>
              </w:tabs>
              <w:jc w:val="both"/>
              <w:rPr>
                <w:bCs/>
                <w:sz w:val="20"/>
                <w:szCs w:val="20"/>
              </w:rPr>
            </w:pPr>
            <w:r w:rsidRPr="00F5291E">
              <w:rPr>
                <w:bCs/>
                <w:sz w:val="20"/>
                <w:szCs w:val="20"/>
              </w:rPr>
              <w:t xml:space="preserve">priradí predkladaný projekt </w:t>
            </w:r>
            <w:r w:rsidR="006015E2">
              <w:rPr>
                <w:bCs/>
                <w:sz w:val="20"/>
                <w:szCs w:val="20"/>
              </w:rPr>
              <w:t>povinne</w:t>
            </w:r>
            <w:r w:rsidRPr="00F5291E">
              <w:rPr>
                <w:bCs/>
                <w:sz w:val="20"/>
                <w:szCs w:val="20"/>
              </w:rPr>
              <w:t xml:space="preserve"> </w:t>
            </w:r>
            <w:r w:rsidR="006015E2">
              <w:rPr>
                <w:bCs/>
                <w:sz w:val="20"/>
                <w:szCs w:val="20"/>
              </w:rPr>
              <w:t>k t</w:t>
            </w:r>
            <w:r w:rsidRPr="00F5291E">
              <w:rPr>
                <w:bCs/>
                <w:sz w:val="20"/>
                <w:szCs w:val="20"/>
              </w:rPr>
              <w:t>ematickým oblasti Domény Zdravá spoločnosť SK RIS3 2021+</w:t>
            </w:r>
            <w:r w:rsidR="000E76F4" w:rsidRPr="00F5291E">
              <w:rPr>
                <w:bCs/>
                <w:sz w:val="20"/>
                <w:szCs w:val="20"/>
              </w:rPr>
              <w:t xml:space="preserve"> </w:t>
            </w:r>
            <w:r w:rsidR="00FD2856" w:rsidRPr="00F5291E">
              <w:rPr>
                <w:bCs/>
                <w:sz w:val="20"/>
                <w:szCs w:val="20"/>
              </w:rPr>
              <w:t>„</w:t>
            </w:r>
            <w:proofErr w:type="spellStart"/>
            <w:r w:rsidR="00FD2856" w:rsidRPr="00F5291E">
              <w:rPr>
                <w:bCs/>
                <w:sz w:val="20"/>
                <w:szCs w:val="20"/>
              </w:rPr>
              <w:t>biobanková</w:t>
            </w:r>
            <w:proofErr w:type="spellEnd"/>
            <w:r w:rsidR="00FD2856" w:rsidRPr="00F5291E">
              <w:rPr>
                <w:bCs/>
                <w:sz w:val="20"/>
                <w:szCs w:val="20"/>
              </w:rPr>
              <w:t xml:space="preserve"> infraštruktúra a </w:t>
            </w:r>
            <w:proofErr w:type="spellStart"/>
            <w:r w:rsidR="00FD2856" w:rsidRPr="00F5291E">
              <w:rPr>
                <w:bCs/>
                <w:sz w:val="20"/>
                <w:szCs w:val="20"/>
              </w:rPr>
              <w:t>biobankovanie</w:t>
            </w:r>
            <w:proofErr w:type="spellEnd"/>
            <w:r w:rsidR="00FD2856" w:rsidRPr="00F5291E">
              <w:rPr>
                <w:bCs/>
                <w:sz w:val="20"/>
                <w:szCs w:val="20"/>
              </w:rPr>
              <w:t>“</w:t>
            </w:r>
            <w:r w:rsidR="000E76F4" w:rsidRPr="00F5291E">
              <w:rPr>
                <w:bCs/>
                <w:sz w:val="20"/>
                <w:szCs w:val="20"/>
              </w:rPr>
              <w:t xml:space="preserve"> </w:t>
            </w:r>
          </w:p>
          <w:p w14:paraId="4955ECC3" w14:textId="77777777" w:rsidR="000E76F4" w:rsidRPr="000E76F4" w:rsidRDefault="000E76F4" w:rsidP="000E76F4">
            <w:pPr>
              <w:pStyle w:val="Odsekzoznamu"/>
              <w:tabs>
                <w:tab w:val="left" w:pos="1695"/>
              </w:tabs>
              <w:ind w:left="1080"/>
              <w:jc w:val="both"/>
              <w:rPr>
                <w:bCs/>
                <w:sz w:val="20"/>
                <w:szCs w:val="20"/>
              </w:rPr>
            </w:pPr>
          </w:p>
          <w:p w14:paraId="15D59844" w14:textId="781C4F3C" w:rsidR="00002DC2" w:rsidRPr="00002DC2" w:rsidRDefault="002E6A3D" w:rsidP="000E76F4">
            <w:pPr>
              <w:tabs>
                <w:tab w:val="left" w:pos="1695"/>
              </w:tabs>
              <w:spacing w:after="12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Minimálna dĺžka realizácie aktivít projektu je 24 mesiacov</w:t>
            </w:r>
            <w:r w:rsidR="000E76F4">
              <w:rPr>
                <w:sz w:val="20"/>
                <w:szCs w:val="20"/>
              </w:rPr>
              <w:t xml:space="preserve">, pričom implementácia projektu musí byť ukončená najneskôr do </w:t>
            </w:r>
            <w:r w:rsidR="004D37EF" w:rsidRPr="00002DC2">
              <w:rPr>
                <w:sz w:val="20"/>
                <w:szCs w:val="20"/>
              </w:rPr>
              <w:t>31.12.2029</w:t>
            </w:r>
            <w:r w:rsidR="000E76F4">
              <w:rPr>
                <w:sz w:val="20"/>
                <w:szCs w:val="20"/>
              </w:rPr>
              <w:t>.</w:t>
            </w:r>
          </w:p>
        </w:tc>
      </w:tr>
      <w:tr w:rsidR="003F2829" w14:paraId="6B68D6D5" w14:textId="77777777" w:rsidTr="00DA7457">
        <w:trPr>
          <w:trHeight w:val="654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09796E9" w14:textId="5D6F7911" w:rsidR="003F2829" w:rsidRDefault="00002DC2" w:rsidP="003F2829">
            <w:pPr>
              <w:ind w:left="344" w:right="94" w:hanging="284"/>
              <w:rPr>
                <w:b/>
              </w:rPr>
            </w:pPr>
            <w:r w:rsidRPr="00747EEB">
              <w:rPr>
                <w:b/>
                <w:i/>
                <w:sz w:val="20"/>
              </w:rPr>
              <w:lastRenderedPageBreak/>
              <w:t xml:space="preserve">4. </w:t>
            </w:r>
            <w:r w:rsidRPr="00747EEB">
              <w:rPr>
                <w:b/>
                <w:iCs/>
                <w:sz w:val="20"/>
              </w:rPr>
              <w:t>Oprávnenosť miesta realizácie projektu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3541" w14:textId="25040440" w:rsidR="00002DC2" w:rsidRDefault="00002DC2" w:rsidP="006015E2">
            <w:pPr>
              <w:jc w:val="both"/>
              <w:rPr>
                <w:sz w:val="20"/>
                <w:szCs w:val="20"/>
              </w:rPr>
            </w:pPr>
            <w:r w:rsidRPr="00747EEB">
              <w:rPr>
                <w:b/>
                <w:sz w:val="20"/>
                <w:szCs w:val="20"/>
              </w:rPr>
              <w:t>Za oprávnené miesto realizácie projektu sa považuje celé územie</w:t>
            </w:r>
            <w:r w:rsidR="006015E2">
              <w:rPr>
                <w:b/>
                <w:sz w:val="20"/>
                <w:szCs w:val="20"/>
              </w:rPr>
              <w:t xml:space="preserve"> menej rozvinutých regiónov</w:t>
            </w:r>
            <w:r w:rsidRPr="00747EEB">
              <w:rPr>
                <w:sz w:val="20"/>
                <w:szCs w:val="20"/>
              </w:rPr>
              <w:t>, ktoré je v zmysle článku 108 ods. 2 Nariadenie o spoločných ustanoveniach</w:t>
            </w:r>
            <w:r w:rsidRPr="00747EEB">
              <w:rPr>
                <w:rStyle w:val="Odkaznapoznmkupodiarou"/>
                <w:sz w:val="20"/>
                <w:szCs w:val="20"/>
              </w:rPr>
              <w:footnoteReference w:id="15"/>
            </w:r>
            <w:r w:rsidRPr="00747EEB">
              <w:rPr>
                <w:sz w:val="20"/>
                <w:szCs w:val="20"/>
              </w:rPr>
              <w:t xml:space="preserve"> rozdelené na Banskobystrický kraj, Žilinský kraj, Košický kraj, Prešovský kraj, Nitriansky kraj, Trenčiansky kraj a Trnavský kraj</w:t>
            </w:r>
            <w:r w:rsidR="006015E2">
              <w:rPr>
                <w:sz w:val="20"/>
                <w:szCs w:val="20"/>
              </w:rPr>
              <w:t>.</w:t>
            </w:r>
          </w:p>
          <w:p w14:paraId="2623DF65" w14:textId="77777777" w:rsidR="006015E2" w:rsidRPr="00747EEB" w:rsidRDefault="006015E2" w:rsidP="006015E2">
            <w:pPr>
              <w:jc w:val="both"/>
              <w:rPr>
                <w:sz w:val="20"/>
                <w:szCs w:val="20"/>
              </w:rPr>
            </w:pPr>
          </w:p>
          <w:p w14:paraId="4FAFF130" w14:textId="77777777" w:rsidR="00002DC2" w:rsidRPr="00747EEB" w:rsidRDefault="00002DC2" w:rsidP="00002DC2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747EEB">
              <w:rPr>
                <w:sz w:val="20"/>
                <w:szCs w:val="20"/>
              </w:rPr>
              <w:t xml:space="preserve">Pre stanovenie oprávnenosti je rozhodujúce </w:t>
            </w:r>
            <w:r w:rsidRPr="00747EEB">
              <w:rPr>
                <w:b/>
                <w:sz w:val="20"/>
                <w:szCs w:val="20"/>
              </w:rPr>
              <w:t>miesto realizácie projektu</w:t>
            </w:r>
            <w:r w:rsidRPr="00747EEB">
              <w:rPr>
                <w:sz w:val="20"/>
                <w:szCs w:val="20"/>
              </w:rPr>
              <w:t xml:space="preserve"> a nie sídlo žiadateľa, pričom </w:t>
            </w:r>
            <w:r w:rsidRPr="00747EEB">
              <w:rPr>
                <w:b/>
                <w:sz w:val="20"/>
                <w:szCs w:val="20"/>
              </w:rPr>
              <w:t xml:space="preserve">žiadateľ je povinný uviesť čísla parciel všetkých miest realizácie </w:t>
            </w:r>
            <w:proofErr w:type="spellStart"/>
            <w:r w:rsidRPr="00747EEB">
              <w:rPr>
                <w:b/>
                <w:sz w:val="20"/>
                <w:szCs w:val="20"/>
              </w:rPr>
              <w:t>VaV</w:t>
            </w:r>
            <w:proofErr w:type="spellEnd"/>
            <w:r w:rsidRPr="00747EEB">
              <w:rPr>
                <w:b/>
                <w:sz w:val="20"/>
                <w:szCs w:val="20"/>
              </w:rPr>
              <w:t xml:space="preserve"> aktivít projektu v časti 6.A formuláru </w:t>
            </w:r>
            <w:proofErr w:type="spellStart"/>
            <w:r w:rsidRPr="00747EEB">
              <w:rPr>
                <w:b/>
                <w:sz w:val="20"/>
                <w:szCs w:val="20"/>
              </w:rPr>
              <w:t>ŽoNFP</w:t>
            </w:r>
            <w:proofErr w:type="spellEnd"/>
            <w:r w:rsidRPr="00747EEB">
              <w:rPr>
                <w:b/>
                <w:sz w:val="20"/>
                <w:szCs w:val="20"/>
              </w:rPr>
              <w:t xml:space="preserve"> v rámci Poznámok k miestu realizácie.</w:t>
            </w:r>
          </w:p>
          <w:p w14:paraId="3B856846" w14:textId="7417DAB1" w:rsidR="006D4329" w:rsidRPr="00747EEB" w:rsidRDefault="006D4329" w:rsidP="006D4329">
            <w:pPr>
              <w:spacing w:after="120"/>
              <w:jc w:val="both"/>
              <w:rPr>
                <w:sz w:val="20"/>
                <w:szCs w:val="20"/>
              </w:rPr>
            </w:pPr>
            <w:r w:rsidRPr="00747EEB">
              <w:rPr>
                <w:sz w:val="20"/>
                <w:szCs w:val="20"/>
              </w:rPr>
              <w:t>V prípade pracovníkov, ktorí vykonávajú im pridelené úlohy formou práce z domu sa toto miesto výkonu práce nerovná miestu realizácie projektu</w:t>
            </w:r>
            <w:r w:rsidR="00F5291E">
              <w:rPr>
                <w:rStyle w:val="Odkaznapoznmkupodiarou"/>
                <w:sz w:val="20"/>
                <w:szCs w:val="20"/>
              </w:rPr>
              <w:footnoteReference w:id="16"/>
            </w:r>
            <w:r w:rsidRPr="00747EEB">
              <w:rPr>
                <w:sz w:val="20"/>
                <w:szCs w:val="20"/>
              </w:rPr>
              <w:t xml:space="preserve">. </w:t>
            </w:r>
          </w:p>
          <w:p w14:paraId="228535AC" w14:textId="12687C5A" w:rsidR="003F2829" w:rsidRPr="00002DC2" w:rsidRDefault="00002DC2" w:rsidP="00153FA3">
            <w:pPr>
              <w:spacing w:after="120"/>
              <w:jc w:val="both"/>
              <w:rPr>
                <w:sz w:val="20"/>
                <w:szCs w:val="20"/>
              </w:rPr>
            </w:pPr>
            <w:r w:rsidRPr="00747EEB">
              <w:rPr>
                <w:sz w:val="20"/>
                <w:szCs w:val="20"/>
              </w:rPr>
              <w:t xml:space="preserve">V prípade zahraničných výskumných pracovníkov vykonávajúcich </w:t>
            </w:r>
            <w:proofErr w:type="spellStart"/>
            <w:r w:rsidRPr="00747EEB">
              <w:rPr>
                <w:sz w:val="20"/>
                <w:szCs w:val="20"/>
              </w:rPr>
              <w:t>VaV</w:t>
            </w:r>
            <w:proofErr w:type="spellEnd"/>
            <w:r w:rsidRPr="00747EEB">
              <w:rPr>
                <w:sz w:val="20"/>
                <w:szCs w:val="20"/>
              </w:rPr>
              <w:t xml:space="preserve"> aktivity na projekte sa miesto výkonu práce nerovná miestu realizácie projektu</w:t>
            </w:r>
            <w:r w:rsidR="00F5291E">
              <w:rPr>
                <w:rStyle w:val="Odkaznapoznmkupodiarou"/>
                <w:sz w:val="20"/>
                <w:szCs w:val="20"/>
              </w:rPr>
              <w:footnoteReference w:id="17"/>
            </w:r>
            <w:r w:rsidRPr="00747EEB">
              <w:rPr>
                <w:sz w:val="20"/>
                <w:szCs w:val="20"/>
              </w:rPr>
              <w:t xml:space="preserve">. </w:t>
            </w:r>
          </w:p>
        </w:tc>
      </w:tr>
      <w:tr w:rsidR="006D4329" w14:paraId="4C0084F1" w14:textId="77777777" w:rsidTr="00487DEF">
        <w:trPr>
          <w:trHeight w:val="120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E59291F" w14:textId="77777777" w:rsidR="00747EEB" w:rsidRDefault="006D4329" w:rsidP="00747EEB">
            <w:pPr>
              <w:ind w:left="25" w:right="94" w:firstLine="35"/>
              <w:rPr>
                <w:b/>
                <w:iCs/>
                <w:sz w:val="20"/>
                <w:szCs w:val="20"/>
              </w:rPr>
            </w:pPr>
            <w:r w:rsidRPr="00747EEB">
              <w:rPr>
                <w:b/>
                <w:i/>
                <w:sz w:val="20"/>
                <w:szCs w:val="20"/>
              </w:rPr>
              <w:t xml:space="preserve">5. </w:t>
            </w:r>
            <w:r w:rsidR="00747EEB">
              <w:rPr>
                <w:b/>
                <w:iCs/>
                <w:sz w:val="20"/>
                <w:szCs w:val="20"/>
              </w:rPr>
              <w:t xml:space="preserve">Oprávnenosť výdavkov </w:t>
            </w:r>
            <w:r w:rsidRPr="00747EEB">
              <w:rPr>
                <w:b/>
                <w:iCs/>
                <w:sz w:val="20"/>
                <w:szCs w:val="20"/>
              </w:rPr>
              <w:t>projektu</w:t>
            </w:r>
            <w:r w:rsidR="004D37EF" w:rsidRPr="00747EEB">
              <w:rPr>
                <w:b/>
                <w:iCs/>
                <w:sz w:val="20"/>
                <w:szCs w:val="20"/>
              </w:rPr>
              <w:t>/</w:t>
            </w:r>
          </w:p>
          <w:p w14:paraId="73DB6E28" w14:textId="6B517096" w:rsidR="006D4329" w:rsidRPr="00747EEB" w:rsidRDefault="004D37EF" w:rsidP="00747EEB">
            <w:pPr>
              <w:ind w:left="25" w:right="94"/>
              <w:rPr>
                <w:b/>
                <w:i/>
                <w:sz w:val="20"/>
                <w:szCs w:val="20"/>
              </w:rPr>
            </w:pPr>
            <w:r w:rsidRPr="00747EEB">
              <w:rPr>
                <w:b/>
                <w:iCs/>
                <w:sz w:val="20"/>
                <w:szCs w:val="20"/>
              </w:rPr>
              <w:t>časová oprávnenosť výdavkov projektu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4620" w14:textId="6F5535BC" w:rsidR="004D37EF" w:rsidRPr="00747EEB" w:rsidRDefault="004D37EF" w:rsidP="006D4329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Oprávnenosť výdavkov:</w:t>
            </w:r>
          </w:p>
          <w:p w14:paraId="13645D84" w14:textId="250FE429" w:rsidR="006D4329" w:rsidRPr="00747EEB" w:rsidRDefault="006D4329" w:rsidP="006D4329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Oprávnenými výdavkami sú výdavky vynaložené v súvislosti s realizáciou projektu, pričom výdavky a ich úhrada musia byť v súlade so slovenským právnym poriadkom a právnym poriadkom EÚ. Každý výdavok musí spĺňať vecnú, časovú a územnú oprávnenosť. Oprávnenosť výdavkov, ako aj súvisiace zásady a postupy, bližšie špecifikuje Príručka k oprávnenosti výdavkov</w:t>
            </w:r>
            <w:r w:rsidRPr="00747E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8"/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, Príručka pre žiadateľov/prijímateľov k procesu verejného obstarávania/obstarávania</w:t>
            </w:r>
            <w:r w:rsidRPr="00747E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9"/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a  </w:t>
            </w:r>
            <w:r w:rsidRPr="0067150F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153FA3" w:rsidRPr="00784C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XY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výzvy „Zoznam oprávnených a neoprávnených výdavkov“. </w:t>
            </w:r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>Oprávnenosť výdavkov deklarovaných v </w:t>
            </w:r>
            <w:proofErr w:type="spellStart"/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747E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 určí na základe skutočne vynaložených, odôvodnených a riadne preukázaných výdavkov počas implementácie projektu.</w:t>
            </w: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6447BB" w14:textId="77777777" w:rsidR="006D4329" w:rsidRPr="00747EEB" w:rsidRDefault="006D4329" w:rsidP="006D4329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Na realizáciu aktivít projektu nie je možné požadovať dotáciu, príspevok, grant alebo inú formu pomoci, na ktorú je poskytovaný NFP a ktorá by predstavovala dvojité financovanie alebo spolufinancovanie tých istých výdavkov zo zdrojov iných rozpočtových kapitol štátneho rozpočtu SR, štátnych fondov, z iných verejných zdrojov alebo zdrojov EÚ. Subjekt je povinný dodržať pravidlá týkajúce sa zákazu kumulácie pomoci uvedené vo výzve a v právnych aktoch EÚ.</w:t>
            </w:r>
          </w:p>
          <w:p w14:paraId="7E207BF0" w14:textId="32FB579F" w:rsidR="006D4329" w:rsidRPr="00747EEB" w:rsidRDefault="006D4329" w:rsidP="006D4329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sz w:val="20"/>
                <w:szCs w:val="20"/>
              </w:rPr>
              <w:t>Výdavky vo vzťahu k dodávateľsko-odberateľským vzťahom medzi subjektami projektového konzorcia súvisiace s projektom nebudú považované za oprávnené. Preto jeden subjekt projektového konzorcia sa nesmie zúčastniť ako uchádzač verejného obstarávania vo verejnom obstarávaní iného subjektu tohto konzorcia, ktoré je tento subjekt povinný vykonať v súlade so zákonom č. 343/2015 Z. z. o verejnom obstarávaní a o zmene a doplnení niektorých zákonov v znení neskorších predpisov.</w:t>
            </w:r>
          </w:p>
          <w:p w14:paraId="6F5D3F02" w14:textId="2A0A58BB" w:rsidR="004D37EF" w:rsidRPr="00747EEB" w:rsidRDefault="004D37EF" w:rsidP="006D4329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Časová oprávnenosť výdavkov:</w:t>
            </w:r>
          </w:p>
          <w:p w14:paraId="39551212" w14:textId="4495BA4B" w:rsidR="004D37EF" w:rsidRPr="00747EEB" w:rsidRDefault="004D37EF" w:rsidP="004D37EF">
            <w:pPr>
              <w:spacing w:line="239" w:lineRule="auto"/>
              <w:ind w:right="4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47E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Priame výdavky</w:t>
            </w:r>
            <w:r w:rsidR="002E6A3D" w:rsidRPr="00747E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od</w:t>
            </w:r>
            <w:r w:rsidRPr="00747E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</w:p>
          <w:p w14:paraId="0FA31CAD" w14:textId="4759F9CB" w:rsidR="004D37EF" w:rsidRPr="00747EEB" w:rsidRDefault="004D37EF">
            <w:pPr>
              <w:pStyle w:val="Odsekzoznamu"/>
              <w:numPr>
                <w:ilvl w:val="0"/>
                <w:numId w:val="5"/>
              </w:numPr>
              <w:spacing w:line="239" w:lineRule="auto"/>
              <w:ind w:right="47"/>
              <w:jc w:val="both"/>
              <w:rPr>
                <w:rFonts w:cstheme="minorHAnsi"/>
                <w:sz w:val="20"/>
                <w:szCs w:val="20"/>
              </w:rPr>
            </w:pPr>
            <w:r w:rsidRPr="00747EEB">
              <w:rPr>
                <w:rFonts w:cstheme="minorHAnsi"/>
                <w:sz w:val="20"/>
                <w:szCs w:val="20"/>
              </w:rPr>
              <w:lastRenderedPageBreak/>
              <w:t xml:space="preserve">Pre </w:t>
            </w:r>
            <w:r w:rsidR="00F5291E">
              <w:rPr>
                <w:rFonts w:cstheme="minorHAnsi"/>
                <w:sz w:val="20"/>
                <w:szCs w:val="20"/>
              </w:rPr>
              <w:t>subjekty realizujúce aktivity mimo schémy štátnej pomoci</w:t>
            </w:r>
            <w:r w:rsidRPr="00747EEB">
              <w:rPr>
                <w:rFonts w:cstheme="minorHAnsi"/>
                <w:sz w:val="20"/>
                <w:szCs w:val="20"/>
              </w:rPr>
              <w:t xml:space="preserve">: najskôr </w:t>
            </w:r>
            <w:r w:rsidR="009113C8">
              <w:rPr>
                <w:rFonts w:cstheme="minorHAnsi"/>
                <w:sz w:val="20"/>
                <w:szCs w:val="20"/>
              </w:rPr>
              <w:t>1.9.2024</w:t>
            </w:r>
            <w:r w:rsidRPr="00747EEB">
              <w:rPr>
                <w:rFonts w:cstheme="minorHAnsi"/>
                <w:sz w:val="20"/>
                <w:szCs w:val="20"/>
              </w:rPr>
              <w:t>, s výnimkou  aktivít na vypracovanie projektovej dokumentácie, kde platí všeobecný dátum oprávnenosti výdavkov pre toto programové obdobie,</w:t>
            </w:r>
          </w:p>
          <w:p w14:paraId="441DF303" w14:textId="27B69DCB" w:rsidR="006D4329" w:rsidRPr="00C14AB7" w:rsidRDefault="00F5291E" w:rsidP="00F5291E">
            <w:pPr>
              <w:pStyle w:val="Odsekzoznamu"/>
              <w:numPr>
                <w:ilvl w:val="0"/>
                <w:numId w:val="5"/>
              </w:numPr>
              <w:spacing w:line="239" w:lineRule="auto"/>
              <w:ind w:right="47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 subjekty realizujúce aktivity v rámci schémy štátnej pomoci</w:t>
            </w:r>
            <w:r w:rsidR="004D37EF" w:rsidRPr="00747EEB">
              <w:rPr>
                <w:rFonts w:cstheme="minorHAnsi"/>
                <w:sz w:val="20"/>
                <w:szCs w:val="20"/>
              </w:rPr>
              <w:t xml:space="preserve">: najskôr od dátumu predloženia </w:t>
            </w:r>
            <w:proofErr w:type="spellStart"/>
            <w:r w:rsidR="004D37EF" w:rsidRPr="00747EEB">
              <w:rPr>
                <w:rFonts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3F2829" w14:paraId="40ECC321" w14:textId="77777777" w:rsidTr="00DA7457">
        <w:trPr>
          <w:trHeight w:val="3501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F3A025D" w14:textId="63A4E942" w:rsidR="003F2829" w:rsidRDefault="00487DEF" w:rsidP="00747EEB">
            <w:pPr>
              <w:ind w:left="25" w:right="94" w:firstLine="35"/>
              <w:rPr>
                <w:b/>
              </w:rPr>
            </w:pPr>
            <w:r>
              <w:rPr>
                <w:b/>
                <w:i/>
                <w:sz w:val="20"/>
              </w:rPr>
              <w:lastRenderedPageBreak/>
              <w:t>6</w:t>
            </w:r>
            <w:r w:rsidR="00F20E8A" w:rsidRPr="00747EEB">
              <w:rPr>
                <w:b/>
                <w:i/>
                <w:sz w:val="20"/>
              </w:rPr>
              <w:t xml:space="preserve">. </w:t>
            </w:r>
            <w:r w:rsidR="00F20E8A" w:rsidRPr="00747EEB">
              <w:rPr>
                <w:b/>
                <w:iCs/>
                <w:sz w:val="20"/>
              </w:rPr>
              <w:t>Výška nenávratného finančného príspevku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2008" w14:textId="1AAFF334" w:rsidR="004F6550" w:rsidRDefault="004F6550" w:rsidP="00487DE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Bude určené vo výzve.</w:t>
            </w:r>
          </w:p>
          <w:p w14:paraId="0F7970E5" w14:textId="21E399C5" w:rsidR="003F2829" w:rsidRPr="00487DEF" w:rsidRDefault="003F2829" w:rsidP="00487DEF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47571ED0" w14:textId="7445EFE5" w:rsidR="0028486E" w:rsidRDefault="0028486E" w:rsidP="00DA7457">
      <w:pPr>
        <w:spacing w:after="0"/>
        <w:ind w:left="-1241" w:right="10916"/>
      </w:pPr>
    </w:p>
    <w:sectPr w:rsidR="002848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59" w:right="990" w:bottom="1243" w:left="1241" w:header="37" w:footer="707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41B4" w16cex:dateUtc="2025-02-04T06:35:00Z"/>
  <w16cex:commentExtensible w16cex:durableId="2B4C41C1" w16cex:dateUtc="2025-02-04T06:35:00Z"/>
  <w16cex:commentExtensible w16cex:durableId="2B4C42B9" w16cex:dateUtc="2025-02-04T06:39:00Z"/>
  <w16cex:commentExtensible w16cex:durableId="2B4C44F6" w16cex:dateUtc="2025-02-04T06:49:00Z"/>
  <w16cex:commentExtensible w16cex:durableId="2B4C4653" w16cex:dateUtc="2025-02-04T06:54:00Z"/>
  <w16cex:commentExtensible w16cex:durableId="2B4C4765" w16cex:dateUtc="2025-02-04T06:59:00Z"/>
  <w16cex:commentExtensible w16cex:durableId="2B4C5C23" w16cex:dateUtc="2025-02-04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20F804" w16cid:durableId="2B4C41AA"/>
  <w16cid:commentId w16cid:paraId="275DE95B" w16cid:durableId="2B4C41B4"/>
  <w16cid:commentId w16cid:paraId="17C23E0A" w16cid:durableId="2B4C41AB"/>
  <w16cid:commentId w16cid:paraId="4A91D8A7" w16cid:durableId="2B4C41C1"/>
  <w16cid:commentId w16cid:paraId="0CA6A406" w16cid:durableId="2B4C41AC"/>
  <w16cid:commentId w16cid:paraId="37D5A565" w16cid:durableId="2B4C42B9"/>
  <w16cid:commentId w16cid:paraId="70D2A36C" w16cid:durableId="2B4C41AD"/>
  <w16cid:commentId w16cid:paraId="2AB79865" w16cid:durableId="2B4C44F6"/>
  <w16cid:commentId w16cid:paraId="03C01656" w16cid:durableId="2B4C41AE"/>
  <w16cid:commentId w16cid:paraId="33E17AA2" w16cid:durableId="2B4C4653"/>
  <w16cid:commentId w16cid:paraId="6A1DE419" w16cid:durableId="2B4C41AF"/>
  <w16cid:commentId w16cid:paraId="32AAB7A4" w16cid:durableId="2B4C4765"/>
  <w16cid:commentId w16cid:paraId="4BCD9E72" w16cid:durableId="2B4C41B0"/>
  <w16cid:commentId w16cid:paraId="1CA6BE4D" w16cid:durableId="2B4C41B1"/>
  <w16cid:commentId w16cid:paraId="509DF12E" w16cid:durableId="2B4C41B2"/>
  <w16cid:commentId w16cid:paraId="3CA9B1C3" w16cid:durableId="2B4C41B3"/>
  <w16cid:commentId w16cid:paraId="4A42A4DD" w16cid:durableId="2B4C5C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9F8B1" w14:textId="77777777" w:rsidR="00CB1419" w:rsidRDefault="00CB1419">
      <w:pPr>
        <w:spacing w:after="0" w:line="240" w:lineRule="auto"/>
      </w:pPr>
      <w:r>
        <w:separator/>
      </w:r>
    </w:p>
  </w:endnote>
  <w:endnote w:type="continuationSeparator" w:id="0">
    <w:p w14:paraId="1BAAF71A" w14:textId="77777777" w:rsidR="00CB1419" w:rsidRDefault="00CB1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3B560" w14:textId="77777777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2421996" w14:textId="77777777" w:rsidR="004E1763" w:rsidRDefault="004E1763">
    <w:pPr>
      <w:spacing w:after="0"/>
      <w:ind w:left="176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29BD4" w14:textId="45E84BA4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283E">
      <w:rPr>
        <w:noProof/>
      </w:rPr>
      <w:t>10</w:t>
    </w:r>
    <w:r>
      <w:fldChar w:fldCharType="end"/>
    </w:r>
    <w:r>
      <w:t xml:space="preserve"> </w:t>
    </w:r>
    <w:r w:rsidR="006A46B3">
      <w:t xml:space="preserve">/ </w:t>
    </w:r>
    <w:r w:rsidR="004F6550">
      <w:t>1</w:t>
    </w:r>
    <w:r w:rsidR="00B50464">
      <w:t>0</w:t>
    </w:r>
  </w:p>
  <w:p w14:paraId="0AB0FD71" w14:textId="77777777" w:rsidR="004E1763" w:rsidRDefault="004E1763">
    <w:pPr>
      <w:spacing w:after="0"/>
      <w:ind w:left="176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8983F" w14:textId="77777777" w:rsidR="004E1763" w:rsidRDefault="004E1763">
    <w:pPr>
      <w:spacing w:after="0"/>
      <w:ind w:left="1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AC5594A" w14:textId="77777777" w:rsidR="004E1763" w:rsidRDefault="004E1763">
    <w:pPr>
      <w:spacing w:after="0"/>
      <w:ind w:left="176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894FA" w14:textId="77777777" w:rsidR="00CB1419" w:rsidRDefault="00CB1419">
      <w:pPr>
        <w:spacing w:after="0" w:line="250" w:lineRule="auto"/>
        <w:jc w:val="both"/>
      </w:pPr>
      <w:r>
        <w:separator/>
      </w:r>
    </w:p>
  </w:footnote>
  <w:footnote w:type="continuationSeparator" w:id="0">
    <w:p w14:paraId="2870E046" w14:textId="77777777" w:rsidR="00CB1419" w:rsidRDefault="00CB1419">
      <w:pPr>
        <w:spacing w:after="0" w:line="250" w:lineRule="auto"/>
        <w:jc w:val="both"/>
      </w:pPr>
      <w:r>
        <w:continuationSeparator/>
      </w:r>
    </w:p>
  </w:footnote>
  <w:footnote w:id="1">
    <w:p w14:paraId="59C12ACE" w14:textId="2172A7A4" w:rsidR="00C14AB7" w:rsidRDefault="00C14AB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747EEB">
          <w:rPr>
            <w:rStyle w:val="Hypertextovprepojenie"/>
            <w:sz w:val="16"/>
            <w:szCs w:val="16"/>
          </w:rPr>
          <w:t>https://obchodnyvestnik.justice.gov.sk/Handlers/StiahnutPrilohu.ashx?IdPriloha=449477&amp;csrt=5433145967179138201</w:t>
        </w:r>
      </w:hyperlink>
      <w:r>
        <w:t xml:space="preserve"> </w:t>
      </w:r>
    </w:p>
  </w:footnote>
  <w:footnote w:id="2">
    <w:p w14:paraId="4CE7C1F1" w14:textId="77777777" w:rsidR="00FB57E2" w:rsidRDefault="00FB57E2" w:rsidP="00FB57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 </w:t>
      </w:r>
      <w:proofErr w:type="spellStart"/>
      <w:r w:rsidRPr="00FB57E2">
        <w:rPr>
          <w:sz w:val="16"/>
          <w:szCs w:val="16"/>
        </w:rPr>
        <w:t>Biobanking</w:t>
      </w:r>
      <w:proofErr w:type="spellEnd"/>
      <w:r w:rsidRPr="00FB57E2">
        <w:rPr>
          <w:sz w:val="16"/>
          <w:szCs w:val="16"/>
        </w:rPr>
        <w:t xml:space="preserve"> and </w:t>
      </w:r>
      <w:proofErr w:type="spellStart"/>
      <w:r w:rsidRPr="00FB57E2">
        <w:rPr>
          <w:sz w:val="16"/>
          <w:szCs w:val="16"/>
        </w:rPr>
        <w:t>Biomolecular</w:t>
      </w:r>
      <w:proofErr w:type="spellEnd"/>
      <w:r w:rsidRPr="00FB57E2">
        <w:rPr>
          <w:sz w:val="16"/>
          <w:szCs w:val="16"/>
        </w:rPr>
        <w:t xml:space="preserve"> </w:t>
      </w:r>
      <w:proofErr w:type="spellStart"/>
      <w:r w:rsidRPr="00FB57E2">
        <w:rPr>
          <w:sz w:val="16"/>
          <w:szCs w:val="16"/>
        </w:rPr>
        <w:t>Resources</w:t>
      </w:r>
      <w:proofErr w:type="spellEnd"/>
      <w:r w:rsidRPr="00FB57E2">
        <w:rPr>
          <w:sz w:val="16"/>
          <w:szCs w:val="16"/>
        </w:rPr>
        <w:t xml:space="preserve"> </w:t>
      </w:r>
      <w:proofErr w:type="spellStart"/>
      <w:r w:rsidRPr="00FB57E2">
        <w:rPr>
          <w:sz w:val="16"/>
          <w:szCs w:val="16"/>
        </w:rPr>
        <w:t>Research</w:t>
      </w:r>
      <w:proofErr w:type="spellEnd"/>
      <w:r w:rsidRPr="00FB57E2">
        <w:rPr>
          <w:sz w:val="16"/>
          <w:szCs w:val="16"/>
        </w:rPr>
        <w:t xml:space="preserve"> </w:t>
      </w:r>
      <w:proofErr w:type="spellStart"/>
      <w:r w:rsidRPr="00FB57E2">
        <w:rPr>
          <w:sz w:val="16"/>
          <w:szCs w:val="16"/>
        </w:rPr>
        <w:t>Infrastructure</w:t>
      </w:r>
      <w:proofErr w:type="spellEnd"/>
      <w:r w:rsidRPr="00FB57E2">
        <w:rPr>
          <w:sz w:val="16"/>
          <w:szCs w:val="16"/>
        </w:rPr>
        <w:t xml:space="preserve"> (BBMRI-ERIC) je jedna z najväčších výskumných infraštruktúr v Európe. Členmi je 23 krajín a jedna medzinárodná organizácia. Spája všetkých hlavných aktérov z</w:t>
      </w:r>
      <w:r w:rsidRPr="00FB57E2">
        <w:rPr>
          <w:rFonts w:cstheme="minorHAnsi"/>
          <w:sz w:val="16"/>
          <w:szCs w:val="16"/>
        </w:rPr>
        <w:t> </w:t>
      </w:r>
      <w:r w:rsidRPr="00FB57E2">
        <w:rPr>
          <w:sz w:val="16"/>
          <w:szCs w:val="16"/>
        </w:rPr>
        <w:t xml:space="preserve">oblasti </w:t>
      </w:r>
      <w:proofErr w:type="spellStart"/>
      <w:r w:rsidRPr="00FB57E2">
        <w:rPr>
          <w:sz w:val="16"/>
          <w:szCs w:val="16"/>
        </w:rPr>
        <w:t>biobankingu</w:t>
      </w:r>
      <w:proofErr w:type="spellEnd"/>
      <w:r w:rsidRPr="00FB57E2">
        <w:rPr>
          <w:sz w:val="16"/>
          <w:szCs w:val="16"/>
        </w:rPr>
        <w:t xml:space="preserve"> - výskumníkov, pracovníkov </w:t>
      </w:r>
      <w:proofErr w:type="spellStart"/>
      <w:r w:rsidRPr="00FB57E2">
        <w:rPr>
          <w:sz w:val="16"/>
          <w:szCs w:val="16"/>
        </w:rPr>
        <w:t>biobánk</w:t>
      </w:r>
      <w:proofErr w:type="spellEnd"/>
      <w:r w:rsidRPr="00FB57E2">
        <w:rPr>
          <w:sz w:val="16"/>
          <w:szCs w:val="16"/>
        </w:rPr>
        <w:t>, priemysel, farmaceutické firmy a</w:t>
      </w:r>
      <w:r w:rsidRPr="00FB57E2">
        <w:rPr>
          <w:rFonts w:cstheme="minorHAnsi"/>
          <w:sz w:val="16"/>
          <w:szCs w:val="16"/>
        </w:rPr>
        <w:t> </w:t>
      </w:r>
      <w:r w:rsidRPr="00FB57E2">
        <w:rPr>
          <w:sz w:val="16"/>
          <w:szCs w:val="16"/>
        </w:rPr>
        <w:t>pacientov. Jej cieľom je podpora excelentného biomedicínskeho výskumu zameraného na zlepšenie zdravia obyvateľov a vývoj inovatívnej modernej liečby.</w:t>
      </w:r>
    </w:p>
  </w:footnote>
  <w:footnote w:id="3">
    <w:p w14:paraId="13C15B05" w14:textId="50F18383" w:rsidR="007C0FBF" w:rsidRDefault="007C0FB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C0FBF">
        <w:rPr>
          <w:rFonts w:cstheme="minorHAnsi"/>
          <w:sz w:val="16"/>
          <w:szCs w:val="16"/>
        </w:rPr>
        <w:t>Finálne bude špecifikované vo výzve.</w:t>
      </w:r>
    </w:p>
  </w:footnote>
  <w:footnote w:id="4">
    <w:p w14:paraId="0F11401E" w14:textId="513EC68A" w:rsidR="004E1763" w:rsidRPr="00747EEB" w:rsidRDefault="004E1763" w:rsidP="002A31FD">
      <w:pPr>
        <w:pStyle w:val="Textpoznmkypodiarou"/>
        <w:jc w:val="both"/>
        <w:rPr>
          <w:rFonts w:cstheme="minorHAnsi"/>
          <w:sz w:val="16"/>
          <w:szCs w:val="16"/>
        </w:rPr>
      </w:pPr>
      <w:r w:rsidRPr="00747EEB">
        <w:rPr>
          <w:rStyle w:val="Odkaznapoznmkupodiarou"/>
          <w:rFonts w:cstheme="minorHAnsi"/>
          <w:sz w:val="16"/>
          <w:szCs w:val="16"/>
        </w:rPr>
        <w:footnoteRef/>
      </w:r>
      <w:r w:rsidRPr="00747EEB">
        <w:rPr>
          <w:rFonts w:cstheme="minorHAnsi"/>
          <w:sz w:val="16"/>
          <w:szCs w:val="16"/>
        </w:rPr>
        <w:t xml:space="preserve">  </w:t>
      </w:r>
      <w:r w:rsidRPr="00747EEB">
        <w:rPr>
          <w:rFonts w:cstheme="minorHAnsi"/>
          <w:sz w:val="16"/>
          <w:szCs w:val="16"/>
        </w:rPr>
        <w:t>Zákon č. 243/2017 Z. z. o verejnej výskumnej inštitúcii a o zmene a doplnení niektorých zákonov a Zákon č. 133/2002 Z. z. o Slovenskej akadémii vied. Verejné výskumné inštitúcie ako nová právna forma v dôsledku transformácie štátnej rozpočtovej organizácie alebo štátnej príspevkovej organizácie v zmysle zákona 243/2017 Z. z. o verejnej výskumnej inštitúcii a o zmene a doplnení niektorých zákonov.</w:t>
      </w:r>
    </w:p>
  </w:footnote>
  <w:footnote w:id="5">
    <w:p w14:paraId="3A92F8B9" w14:textId="0D020737" w:rsidR="007C0FBF" w:rsidRDefault="007C0FBF" w:rsidP="007C0FB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C0FBF">
        <w:rPr>
          <w:rFonts w:cstheme="minorHAnsi"/>
          <w:sz w:val="16"/>
          <w:szCs w:val="16"/>
        </w:rPr>
        <w:t>Vzhľadom k tomu, že cieľ 1 výzvy na charakter infraštruktúrneho podporeného projektu a vzhľadom k tomu, že pre podnikateľské subjekty sú vymedzené oprávnené aktivity – priemyselný výskum a experimentálny vývoj – v tomto cieli výzvy podnikateľské subjekty nie sú oprávnené.</w:t>
      </w:r>
      <w:r>
        <w:t xml:space="preserve"> </w:t>
      </w:r>
    </w:p>
  </w:footnote>
  <w:footnote w:id="6">
    <w:p w14:paraId="29BFCCCE" w14:textId="51D23A81" w:rsidR="00D3052E" w:rsidRDefault="00D305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</w:t>
      </w:r>
      <w:r w:rsidRPr="00D3052E">
        <w:rPr>
          <w:rFonts w:cstheme="minorHAnsi"/>
          <w:sz w:val="16"/>
          <w:szCs w:val="16"/>
        </w:rPr>
        <w:t>poločné vyšetrovacie a liečebné zložky (SVALZ)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</w:footnote>
  <w:footnote w:id="7">
    <w:p w14:paraId="0EFBE3AE" w14:textId="77777777" w:rsidR="00CC250A" w:rsidRDefault="00CC250A" w:rsidP="00CC250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</w:t>
      </w:r>
      <w:r w:rsidRPr="00D3052E">
        <w:rPr>
          <w:rFonts w:cstheme="minorHAnsi"/>
          <w:sz w:val="16"/>
          <w:szCs w:val="16"/>
        </w:rPr>
        <w:t>poločné vyšetrovacie a liečebné zložky (SVALZ)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</w:footnote>
  <w:footnote w:id="8">
    <w:p w14:paraId="42D9991A" w14:textId="77777777" w:rsidR="0031699B" w:rsidRDefault="0031699B" w:rsidP="0031699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</w:t>
      </w:r>
      <w:r w:rsidRPr="00D3052E">
        <w:rPr>
          <w:rFonts w:cstheme="minorHAnsi"/>
          <w:sz w:val="16"/>
          <w:szCs w:val="16"/>
        </w:rPr>
        <w:t>poločné vyšetrovacie a liečebné zložky (SVALZ)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</w:footnote>
  <w:footnote w:id="9">
    <w:p w14:paraId="1CC25A37" w14:textId="77777777" w:rsidR="0031699B" w:rsidRDefault="0031699B" w:rsidP="0031699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</w:t>
      </w:r>
      <w:r w:rsidRPr="00D3052E">
        <w:rPr>
          <w:rFonts w:cstheme="minorHAnsi"/>
          <w:sz w:val="16"/>
          <w:szCs w:val="16"/>
        </w:rPr>
        <w:t>poločné vyšetrovacie a liečebné zložky (SVALZ)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</w:footnote>
  <w:footnote w:id="10">
    <w:p w14:paraId="1C3FE802" w14:textId="4BB1267F" w:rsidR="004A1432" w:rsidRDefault="004A14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A1432">
        <w:rPr>
          <w:sz w:val="16"/>
          <w:szCs w:val="16"/>
        </w:rPr>
        <w:t xml:space="preserve">Podľa aktuálne platného tematického vymedzenia prioritnej oblasti 1 domény Zdravá spoločnosť: </w:t>
      </w:r>
      <w:hyperlink r:id="rId2" w:history="1">
        <w:r w:rsidRPr="004A1432">
          <w:rPr>
            <w:rStyle w:val="Hypertextovprepojenie"/>
            <w:sz w:val="16"/>
            <w:szCs w:val="16"/>
          </w:rPr>
          <w:t>https://vaia.gov.sk/sk/strategia-inteligentnej-specializacie-ris3-2/</w:t>
        </w:r>
      </w:hyperlink>
      <w:r>
        <w:t xml:space="preserve"> </w:t>
      </w:r>
    </w:p>
  </w:footnote>
  <w:footnote w:id="11">
    <w:p w14:paraId="04AC64A9" w14:textId="6AA8854B" w:rsidR="001C59EA" w:rsidRDefault="001C59E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3" w:history="1">
        <w:r w:rsidRPr="001C59EA">
          <w:rPr>
            <w:rStyle w:val="Hypertextovprepojenie"/>
            <w:sz w:val="16"/>
            <w:szCs w:val="16"/>
          </w:rPr>
          <w:t>https://www.bbmri-eric.eu/</w:t>
        </w:r>
      </w:hyperlink>
      <w:r>
        <w:t xml:space="preserve"> </w:t>
      </w:r>
    </w:p>
  </w:footnote>
  <w:footnote w:id="12">
    <w:p w14:paraId="3940EEE4" w14:textId="7BF53E4F" w:rsidR="00EE228C" w:rsidRDefault="00EE228C" w:rsidP="007C0FB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Uvedené požiadavky bude musieť plniť každá podporená individuálna </w:t>
      </w:r>
      <w:proofErr w:type="spellStart"/>
      <w:r>
        <w:t>biobanka</w:t>
      </w:r>
      <w:proofErr w:type="spellEnd"/>
      <w:r>
        <w:t xml:space="preserve">, pričom v prípade podnikov bude potrebné rešpektovať, že jedinými oprávnenými aktivitami bude priemyselný výskum a experimentálny vývoj. </w:t>
      </w:r>
    </w:p>
  </w:footnote>
  <w:footnote w:id="13">
    <w:p w14:paraId="59F6E16E" w14:textId="3D862BFF" w:rsidR="007C0FBF" w:rsidRPr="007C0FBF" w:rsidRDefault="007C0FBF" w:rsidP="007C0FBF">
      <w:pPr>
        <w:pStyle w:val="Textpoznmkypodiarou"/>
        <w:jc w:val="both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C0FBF">
        <w:rPr>
          <w:sz w:val="16"/>
          <w:szCs w:val="16"/>
        </w:rPr>
        <w:t>Oprávnené iba pre aktivity v rámci cieľa 2.</w:t>
      </w:r>
    </w:p>
  </w:footnote>
  <w:footnote w:id="14">
    <w:p w14:paraId="2917F032" w14:textId="084B0721" w:rsidR="007C0FBF" w:rsidRDefault="007C0FBF" w:rsidP="007C0FBF">
      <w:pPr>
        <w:pStyle w:val="Textpoznmkypodiarou"/>
        <w:jc w:val="both"/>
      </w:pPr>
      <w:bookmarkStart w:id="6" w:name="_GoBack"/>
      <w:r w:rsidRPr="007C0FBF">
        <w:rPr>
          <w:rStyle w:val="Odkaznapoznmkupodiarou"/>
        </w:rPr>
        <w:footnoteRef/>
      </w:r>
      <w:r w:rsidRPr="007C0FBF">
        <w:rPr>
          <w:rStyle w:val="Odkaznapoznmkupodiarou"/>
        </w:rPr>
        <w:t xml:space="preserve"> </w:t>
      </w:r>
      <w:r w:rsidRPr="007C0FBF">
        <w:rPr>
          <w:sz w:val="16"/>
          <w:szCs w:val="16"/>
        </w:rPr>
        <w:t>Oprávnené iba pre aktivity v rámci cieľa 2.</w:t>
      </w:r>
      <w:bookmarkEnd w:id="6"/>
    </w:p>
  </w:footnote>
  <w:footnote w:id="15">
    <w:p w14:paraId="386C6B6D" w14:textId="77777777" w:rsidR="004E1763" w:rsidRPr="00747EEB" w:rsidRDefault="004E1763" w:rsidP="00002DC2">
      <w:pPr>
        <w:pStyle w:val="Textpoznmkypodiarou"/>
        <w:jc w:val="both"/>
        <w:rPr>
          <w:sz w:val="16"/>
          <w:szCs w:val="16"/>
        </w:rPr>
      </w:pPr>
      <w:r w:rsidRPr="00747EEB">
        <w:rPr>
          <w:rStyle w:val="Odkaznapoznmkupodiarou"/>
          <w:sz w:val="16"/>
          <w:szCs w:val="16"/>
        </w:rPr>
        <w:footnoteRef/>
      </w:r>
      <w:r w:rsidRPr="00747EEB">
        <w:rPr>
          <w:sz w:val="16"/>
          <w:szCs w:val="16"/>
        </w:rPr>
        <w:t xml:space="preserve"> </w:t>
      </w:r>
      <w:r w:rsidRPr="00747EEB">
        <w:rPr>
          <w:sz w:val="16"/>
          <w:szCs w:val="16"/>
        </w:rPr>
        <w:t xml:space="preserve">Nariadenia Európskeho Parlamentu a Rady (EÚ) 2021/1060 z 24. júna 2021, ktorým sa stanovujú spoločné ustanovenia o Európskom fonde regionálneho rozvoja, Európskom sociálnom fonde plus, Kohéznom fonde, Fonde na spravodlivú transformáciu a Európskom námornom, rybolovnom a </w:t>
      </w:r>
      <w:proofErr w:type="spellStart"/>
      <w:r w:rsidRPr="00747EEB">
        <w:rPr>
          <w:sz w:val="16"/>
          <w:szCs w:val="16"/>
        </w:rPr>
        <w:t>akvakultúrnom</w:t>
      </w:r>
      <w:proofErr w:type="spellEnd"/>
      <w:r w:rsidRPr="00747EEB">
        <w:rPr>
          <w:sz w:val="16"/>
          <w:szCs w:val="16"/>
        </w:rPr>
        <w:t xml:space="preserve"> fonde a rozpočtové pravidlá pre uvedené fondy, ako aj pre Fond pre azyl, migráciu a integráciu, Fond pre vnútornú bezpečnosť a Nástroj finančnej podpory na riadenie hraníc a vízovú politiku (ďalej aj „Nariadenie o spoločných ustanoveniach“ alebo „NSU“)</w:t>
      </w:r>
    </w:p>
  </w:footnote>
  <w:footnote w:id="16">
    <w:p w14:paraId="522D9C08" w14:textId="5088FAF5" w:rsidR="00F5291E" w:rsidRPr="00F5291E" w:rsidRDefault="00F5291E">
      <w:pPr>
        <w:pStyle w:val="Textpoznmkypodiarou"/>
      </w:pPr>
      <w:r w:rsidRPr="00F5291E">
        <w:rPr>
          <w:rStyle w:val="Odkaznapoznmkupodiarou"/>
        </w:rPr>
        <w:footnoteRef/>
      </w:r>
      <w:r w:rsidRPr="00F5291E">
        <w:t xml:space="preserve"> </w:t>
      </w:r>
      <w:r w:rsidRPr="00F5291E">
        <w:rPr>
          <w:sz w:val="16"/>
          <w:szCs w:val="16"/>
        </w:rPr>
        <w:t>Miesto realizácie projektu sú priestory prijímateľ/partnera, v rámci ktorých sa realizujú odborné aktivity projektu a ktoré sa využívajú v zmysle podmienok uvedených v časti výzvy "vysporiadanie majetkovo-právnych vzťahov" a súčasne sa nachádzajú v rámci oprávneného územia</w:t>
      </w:r>
    </w:p>
  </w:footnote>
  <w:footnote w:id="17">
    <w:p w14:paraId="4D773C18" w14:textId="257B7842" w:rsidR="00F5291E" w:rsidRDefault="00F5291E">
      <w:pPr>
        <w:pStyle w:val="Textpoznmkypodiarou"/>
      </w:pPr>
      <w:r w:rsidRPr="00F5291E">
        <w:rPr>
          <w:rStyle w:val="Odkaznapoznmkupodiarou"/>
        </w:rPr>
        <w:footnoteRef/>
      </w:r>
      <w:r w:rsidRPr="00F5291E">
        <w:t xml:space="preserve"> </w:t>
      </w:r>
      <w:r w:rsidRPr="00F5291E">
        <w:rPr>
          <w:sz w:val="16"/>
          <w:szCs w:val="16"/>
        </w:rPr>
        <w:t>Miesto realizácie projektu sú priestory prijímateľ/partnera, v rámci ktorých sa realizujú odborné aktivity projektu a ktoré sa využívajú v zmysle podmienok uvedených v časti výzvy "vysporiadanie majetkovo-právnych vzťahov" a súčasne sa nachádzajú v rámci oprávneného územia</w:t>
      </w:r>
    </w:p>
  </w:footnote>
  <w:footnote w:id="18">
    <w:p w14:paraId="7E05693F" w14:textId="77777777" w:rsidR="004E1763" w:rsidRPr="00747EEB" w:rsidRDefault="004E1763" w:rsidP="006D4329">
      <w:pPr>
        <w:pStyle w:val="Textpoznmkypodiarou"/>
        <w:rPr>
          <w:sz w:val="16"/>
        </w:rPr>
      </w:pPr>
      <w:r w:rsidRPr="00747EEB">
        <w:rPr>
          <w:rStyle w:val="Odkaznapoznmkupodiarou"/>
          <w:sz w:val="16"/>
        </w:rPr>
        <w:footnoteRef/>
      </w:r>
      <w:r w:rsidRPr="00747EEB">
        <w:rPr>
          <w:sz w:val="16"/>
        </w:rPr>
        <w:t xml:space="preserve"> </w:t>
      </w:r>
      <w:r w:rsidRPr="00747EEB">
        <w:rPr>
          <w:sz w:val="16"/>
        </w:rPr>
        <w:t xml:space="preserve">Dostupné online: </w:t>
      </w:r>
      <w:hyperlink r:id="rId4" w:history="1">
        <w:r w:rsidRPr="00747EEB">
          <w:rPr>
            <w:rStyle w:val="Hypertextovprepojenie"/>
            <w:sz w:val="16"/>
          </w:rPr>
          <w:t>https://eurofondy.gov.sk/dokumenty-a-publikacie/metodicke-dokumenty/</w:t>
        </w:r>
      </w:hyperlink>
    </w:p>
  </w:footnote>
  <w:footnote w:id="19">
    <w:p w14:paraId="30A37ECA" w14:textId="77777777" w:rsidR="004E1763" w:rsidRDefault="004E1763" w:rsidP="006D4329">
      <w:pPr>
        <w:pStyle w:val="Textpoznmkypodiarou"/>
      </w:pPr>
      <w:r w:rsidRPr="00747EEB">
        <w:rPr>
          <w:rStyle w:val="Odkaznapoznmkupodiarou"/>
          <w:sz w:val="16"/>
        </w:rPr>
        <w:footnoteRef/>
      </w:r>
      <w:r w:rsidRPr="00747EEB">
        <w:rPr>
          <w:sz w:val="16"/>
        </w:rPr>
        <w:t xml:space="preserve"> </w:t>
      </w:r>
      <w:r w:rsidRPr="00747EEB">
        <w:rPr>
          <w:sz w:val="16"/>
        </w:rPr>
        <w:t xml:space="preserve">Dostupné online: </w:t>
      </w:r>
      <w:hyperlink r:id="rId5" w:history="1">
        <w:r w:rsidRPr="00747EEB">
          <w:rPr>
            <w:rStyle w:val="Hypertextovprepojenie"/>
            <w:sz w:val="16"/>
          </w:rPr>
          <w:t>https://eurofondy.gov.sk/dokumenty-a-publikacie/metodicke-dokumenty/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7FF2" w14:textId="77777777" w:rsidR="004E1763" w:rsidRDefault="004E1763">
    <w:pPr>
      <w:spacing w:after="0"/>
      <w:ind w:left="176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19ED91A" wp14:editId="75FBA37E">
          <wp:simplePos x="0" y="0"/>
          <wp:positionH relativeFrom="page">
            <wp:posOffset>899795</wp:posOffset>
          </wp:positionH>
          <wp:positionV relativeFrom="page">
            <wp:posOffset>107315</wp:posOffset>
          </wp:positionV>
          <wp:extent cx="1798955" cy="603250"/>
          <wp:effectExtent l="0" t="0" r="0" b="0"/>
          <wp:wrapSquare wrapText="bothSides"/>
          <wp:docPr id="1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955" cy="603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51BC0C16" wp14:editId="362896D0">
          <wp:simplePos x="0" y="0"/>
          <wp:positionH relativeFrom="page">
            <wp:posOffset>3389630</wp:posOffset>
          </wp:positionH>
          <wp:positionV relativeFrom="page">
            <wp:posOffset>23495</wp:posOffset>
          </wp:positionV>
          <wp:extent cx="989965" cy="928370"/>
          <wp:effectExtent l="0" t="0" r="0" b="0"/>
          <wp:wrapSquare wrapText="bothSides"/>
          <wp:docPr id="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996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4E2E75D7" wp14:editId="676B8F7F">
          <wp:simplePos x="0" y="0"/>
          <wp:positionH relativeFrom="page">
            <wp:posOffset>5197475</wp:posOffset>
          </wp:positionH>
          <wp:positionV relativeFrom="page">
            <wp:posOffset>150495</wp:posOffset>
          </wp:positionV>
          <wp:extent cx="1731899" cy="503555"/>
          <wp:effectExtent l="0" t="0" r="0" b="0"/>
          <wp:wrapSquare wrapText="bothSides"/>
          <wp:docPr id="3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31899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05AE6" w14:textId="77777777" w:rsidR="004E1763" w:rsidRDefault="004E1763" w:rsidP="008D5080">
    <w:pPr>
      <w:spacing w:after="0"/>
      <w:ind w:left="-142"/>
    </w:pPr>
    <w:r>
      <w:tab/>
      <w:t xml:space="preserve"> </w:t>
    </w:r>
    <w:r>
      <w:tab/>
    </w:r>
    <w:r>
      <w:tab/>
    </w:r>
    <w:r>
      <w:rPr>
        <w:noProof/>
      </w:rPr>
      <w:drawing>
        <wp:inline distT="0" distB="0" distL="0" distR="0" wp14:anchorId="246CE589" wp14:editId="00AE8FEA">
          <wp:extent cx="6134100" cy="438150"/>
          <wp:effectExtent l="0" t="0" r="0" b="0"/>
          <wp:docPr id="8" name="Obrázok 8" descr="C:\Users\hrubiskm\AppData\Local\Microsoft\Windows\INetCache\Content.Word\PS+EU+MZ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ubiskm\AppData\Local\Microsoft\Windows\INetCache\Content.Word\PS+EU+MZS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50615" w14:textId="77777777" w:rsidR="004E1763" w:rsidRDefault="004E1763">
    <w:pPr>
      <w:spacing w:after="0"/>
      <w:ind w:left="176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3D3C100" wp14:editId="2D9FF14C">
          <wp:simplePos x="0" y="0"/>
          <wp:positionH relativeFrom="page">
            <wp:posOffset>899795</wp:posOffset>
          </wp:positionH>
          <wp:positionV relativeFrom="page">
            <wp:posOffset>107315</wp:posOffset>
          </wp:positionV>
          <wp:extent cx="1798955" cy="603250"/>
          <wp:effectExtent l="0" t="0" r="0" b="0"/>
          <wp:wrapSquare wrapText="bothSides"/>
          <wp:docPr id="9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955" cy="603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6BF8BCCF" wp14:editId="407046FD">
          <wp:simplePos x="0" y="0"/>
          <wp:positionH relativeFrom="page">
            <wp:posOffset>3389630</wp:posOffset>
          </wp:positionH>
          <wp:positionV relativeFrom="page">
            <wp:posOffset>23495</wp:posOffset>
          </wp:positionV>
          <wp:extent cx="989965" cy="928370"/>
          <wp:effectExtent l="0" t="0" r="0" b="0"/>
          <wp:wrapSquare wrapText="bothSides"/>
          <wp:docPr id="1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996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2E602011" wp14:editId="38BB02F2">
          <wp:simplePos x="0" y="0"/>
          <wp:positionH relativeFrom="page">
            <wp:posOffset>5197475</wp:posOffset>
          </wp:positionH>
          <wp:positionV relativeFrom="page">
            <wp:posOffset>150495</wp:posOffset>
          </wp:positionV>
          <wp:extent cx="1731899" cy="503555"/>
          <wp:effectExtent l="0" t="0" r="0" b="0"/>
          <wp:wrapSquare wrapText="bothSides"/>
          <wp:docPr id="11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31899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B91"/>
    <w:multiLevelType w:val="hybridMultilevel"/>
    <w:tmpl w:val="DD8E0A1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64A72"/>
    <w:multiLevelType w:val="hybridMultilevel"/>
    <w:tmpl w:val="881AE8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732D1"/>
    <w:multiLevelType w:val="multilevel"/>
    <w:tmpl w:val="7A3E0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B17E8B0"/>
    <w:multiLevelType w:val="hybridMultilevel"/>
    <w:tmpl w:val="A1D86EA4"/>
    <w:lvl w:ilvl="0" w:tplc="EAEABAE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B15A51A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BC682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90DC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1EB7A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28430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770CA0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58F31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D8C02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97866"/>
    <w:multiLevelType w:val="hybridMultilevel"/>
    <w:tmpl w:val="0638D9DE"/>
    <w:lvl w:ilvl="0" w:tplc="C7C08F4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2C9E0FB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56345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54A7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CC2AC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18432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9CE735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8AA52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8983B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D13C4D"/>
    <w:multiLevelType w:val="multilevel"/>
    <w:tmpl w:val="276CB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5E3CD65"/>
    <w:multiLevelType w:val="hybridMultilevel"/>
    <w:tmpl w:val="1B3E7268"/>
    <w:lvl w:ilvl="0" w:tplc="934077F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F702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6EA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C3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24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7AF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E2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E2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C46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404D8"/>
    <w:multiLevelType w:val="hybridMultilevel"/>
    <w:tmpl w:val="173CB1AA"/>
    <w:lvl w:ilvl="0" w:tplc="A3F0DA46">
      <w:start w:val="1"/>
      <w:numFmt w:val="upperLetter"/>
      <w:lvlText w:val="%1)"/>
      <w:lvlJc w:val="left"/>
      <w:pPr>
        <w:ind w:left="726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8" w15:restartNumberingAfterBreak="0">
    <w:nsid w:val="2B370E9C"/>
    <w:multiLevelType w:val="hybridMultilevel"/>
    <w:tmpl w:val="A328A0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EF3AB1"/>
    <w:multiLevelType w:val="hybridMultilevel"/>
    <w:tmpl w:val="F7669B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B5897"/>
    <w:multiLevelType w:val="hybridMultilevel"/>
    <w:tmpl w:val="4CDCFD06"/>
    <w:lvl w:ilvl="0" w:tplc="7D800FA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3BC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243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CE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41C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9C4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401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A3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826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1A2"/>
    <w:multiLevelType w:val="hybridMultilevel"/>
    <w:tmpl w:val="78F82A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336640"/>
    <w:multiLevelType w:val="hybridMultilevel"/>
    <w:tmpl w:val="0CE62F9E"/>
    <w:lvl w:ilvl="0" w:tplc="8A903462">
      <w:start w:val="1"/>
      <w:numFmt w:val="decimal"/>
      <w:lvlText w:val="%1."/>
      <w:lvlJc w:val="left"/>
      <w:pPr>
        <w:ind w:left="360" w:hanging="360"/>
      </w:pPr>
    </w:lvl>
    <w:lvl w:ilvl="1" w:tplc="F9AAA496">
      <w:start w:val="1"/>
      <w:numFmt w:val="lowerLetter"/>
      <w:lvlText w:val="%2."/>
      <w:lvlJc w:val="left"/>
      <w:pPr>
        <w:ind w:left="1080" w:hanging="360"/>
      </w:pPr>
    </w:lvl>
    <w:lvl w:ilvl="2" w:tplc="B6127AB4">
      <w:start w:val="1"/>
      <w:numFmt w:val="lowerRoman"/>
      <w:lvlText w:val="%3."/>
      <w:lvlJc w:val="right"/>
      <w:pPr>
        <w:ind w:left="1800" w:hanging="180"/>
      </w:pPr>
    </w:lvl>
    <w:lvl w:ilvl="3" w:tplc="DB3E62AA">
      <w:start w:val="1"/>
      <w:numFmt w:val="decimal"/>
      <w:lvlText w:val="%4."/>
      <w:lvlJc w:val="left"/>
      <w:pPr>
        <w:ind w:left="2520" w:hanging="360"/>
      </w:pPr>
    </w:lvl>
    <w:lvl w:ilvl="4" w:tplc="7108AFC4">
      <w:start w:val="1"/>
      <w:numFmt w:val="lowerLetter"/>
      <w:lvlText w:val="%5."/>
      <w:lvlJc w:val="left"/>
      <w:pPr>
        <w:ind w:left="3240" w:hanging="360"/>
      </w:pPr>
    </w:lvl>
    <w:lvl w:ilvl="5" w:tplc="A8A449EC">
      <w:start w:val="1"/>
      <w:numFmt w:val="lowerRoman"/>
      <w:lvlText w:val="%6."/>
      <w:lvlJc w:val="right"/>
      <w:pPr>
        <w:ind w:left="3960" w:hanging="180"/>
      </w:pPr>
    </w:lvl>
    <w:lvl w:ilvl="6" w:tplc="776A7F0E">
      <w:start w:val="1"/>
      <w:numFmt w:val="decimal"/>
      <w:lvlText w:val="%7."/>
      <w:lvlJc w:val="left"/>
      <w:pPr>
        <w:ind w:left="4680" w:hanging="360"/>
      </w:pPr>
    </w:lvl>
    <w:lvl w:ilvl="7" w:tplc="AAAAA820">
      <w:start w:val="1"/>
      <w:numFmt w:val="lowerLetter"/>
      <w:lvlText w:val="%8."/>
      <w:lvlJc w:val="left"/>
      <w:pPr>
        <w:ind w:left="5400" w:hanging="360"/>
      </w:pPr>
    </w:lvl>
    <w:lvl w:ilvl="8" w:tplc="5074D8D2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182C1C"/>
    <w:multiLevelType w:val="hybridMultilevel"/>
    <w:tmpl w:val="2A7AE9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FF396B"/>
    <w:multiLevelType w:val="hybridMultilevel"/>
    <w:tmpl w:val="EB9A1E1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183D71"/>
    <w:multiLevelType w:val="hybridMultilevel"/>
    <w:tmpl w:val="82C2D60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3C784C"/>
    <w:multiLevelType w:val="hybridMultilevel"/>
    <w:tmpl w:val="DE2CCF98"/>
    <w:lvl w:ilvl="0" w:tplc="DEB087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141981"/>
    <w:multiLevelType w:val="hybridMultilevel"/>
    <w:tmpl w:val="2C7C0A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960A37"/>
    <w:multiLevelType w:val="hybridMultilevel"/>
    <w:tmpl w:val="5C580BC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2EAA00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9FF205"/>
    <w:multiLevelType w:val="hybridMultilevel"/>
    <w:tmpl w:val="6E88B5FE"/>
    <w:lvl w:ilvl="0" w:tplc="86FCE1E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F34AEB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5DC884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98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2612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ED6215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4BA44C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F6844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E4A813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4E03F3"/>
    <w:multiLevelType w:val="hybridMultilevel"/>
    <w:tmpl w:val="C16E19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14375"/>
    <w:multiLevelType w:val="hybridMultilevel"/>
    <w:tmpl w:val="66B84046"/>
    <w:lvl w:ilvl="0" w:tplc="041B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21"/>
  </w:num>
  <w:num w:numId="5">
    <w:abstractNumId w:val="13"/>
  </w:num>
  <w:num w:numId="6">
    <w:abstractNumId w:val="11"/>
  </w:num>
  <w:num w:numId="7">
    <w:abstractNumId w:val="1"/>
  </w:num>
  <w:num w:numId="8">
    <w:abstractNumId w:val="15"/>
  </w:num>
  <w:num w:numId="9">
    <w:abstractNumId w:val="8"/>
  </w:num>
  <w:num w:numId="10">
    <w:abstractNumId w:val="9"/>
  </w:num>
  <w:num w:numId="11">
    <w:abstractNumId w:val="18"/>
  </w:num>
  <w:num w:numId="12">
    <w:abstractNumId w:val="14"/>
  </w:num>
  <w:num w:numId="13">
    <w:abstractNumId w:val="10"/>
  </w:num>
  <w:num w:numId="14">
    <w:abstractNumId w:val="6"/>
  </w:num>
  <w:num w:numId="15">
    <w:abstractNumId w:val="4"/>
  </w:num>
  <w:num w:numId="16">
    <w:abstractNumId w:val="19"/>
  </w:num>
  <w:num w:numId="17">
    <w:abstractNumId w:val="3"/>
  </w:num>
  <w:num w:numId="18">
    <w:abstractNumId w:val="12"/>
  </w:num>
  <w:num w:numId="19">
    <w:abstractNumId w:val="5"/>
  </w:num>
  <w:num w:numId="20">
    <w:abstractNumId w:val="2"/>
  </w:num>
  <w:num w:numId="21">
    <w:abstractNumId w:val="0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89"/>
    <w:rsid w:val="000017B6"/>
    <w:rsid w:val="00002DC2"/>
    <w:rsid w:val="00003089"/>
    <w:rsid w:val="00005295"/>
    <w:rsid w:val="00012875"/>
    <w:rsid w:val="0001700C"/>
    <w:rsid w:val="00022239"/>
    <w:rsid w:val="00023561"/>
    <w:rsid w:val="00024056"/>
    <w:rsid w:val="00032BB7"/>
    <w:rsid w:val="00044AFB"/>
    <w:rsid w:val="00052C25"/>
    <w:rsid w:val="00055FDC"/>
    <w:rsid w:val="0006795A"/>
    <w:rsid w:val="000719C2"/>
    <w:rsid w:val="0008459D"/>
    <w:rsid w:val="00087C56"/>
    <w:rsid w:val="0009696A"/>
    <w:rsid w:val="000C263C"/>
    <w:rsid w:val="000C33DD"/>
    <w:rsid w:val="000D2472"/>
    <w:rsid w:val="000D35CF"/>
    <w:rsid w:val="000E4C35"/>
    <w:rsid w:val="000E5851"/>
    <w:rsid w:val="000E676D"/>
    <w:rsid w:val="000E76F4"/>
    <w:rsid w:val="000F0724"/>
    <w:rsid w:val="000F3E96"/>
    <w:rsid w:val="00104FA9"/>
    <w:rsid w:val="001054AE"/>
    <w:rsid w:val="001072DF"/>
    <w:rsid w:val="00113BB0"/>
    <w:rsid w:val="00132D17"/>
    <w:rsid w:val="00140719"/>
    <w:rsid w:val="00140894"/>
    <w:rsid w:val="001418C0"/>
    <w:rsid w:val="00153717"/>
    <w:rsid w:val="00153FA3"/>
    <w:rsid w:val="00155FA2"/>
    <w:rsid w:val="00171803"/>
    <w:rsid w:val="001738B7"/>
    <w:rsid w:val="00184684"/>
    <w:rsid w:val="00190A87"/>
    <w:rsid w:val="001A5F1B"/>
    <w:rsid w:val="001B6031"/>
    <w:rsid w:val="001C5551"/>
    <w:rsid w:val="001C59EA"/>
    <w:rsid w:val="001C5EC7"/>
    <w:rsid w:val="001D134D"/>
    <w:rsid w:val="001D239A"/>
    <w:rsid w:val="001D2B60"/>
    <w:rsid w:val="001D6081"/>
    <w:rsid w:val="001E517C"/>
    <w:rsid w:val="001E6B8A"/>
    <w:rsid w:val="001F7210"/>
    <w:rsid w:val="001F7F42"/>
    <w:rsid w:val="00201815"/>
    <w:rsid w:val="002037FC"/>
    <w:rsid w:val="0020603A"/>
    <w:rsid w:val="0020673A"/>
    <w:rsid w:val="00207751"/>
    <w:rsid w:val="002136B3"/>
    <w:rsid w:val="00214D85"/>
    <w:rsid w:val="002150AA"/>
    <w:rsid w:val="00221F7A"/>
    <w:rsid w:val="00237523"/>
    <w:rsid w:val="00252DCA"/>
    <w:rsid w:val="00255360"/>
    <w:rsid w:val="00265427"/>
    <w:rsid w:val="00276B8D"/>
    <w:rsid w:val="0028486E"/>
    <w:rsid w:val="0029102A"/>
    <w:rsid w:val="002957D7"/>
    <w:rsid w:val="002A31FD"/>
    <w:rsid w:val="002A36E4"/>
    <w:rsid w:val="002A5FD8"/>
    <w:rsid w:val="002B32FA"/>
    <w:rsid w:val="002C5C69"/>
    <w:rsid w:val="002D1048"/>
    <w:rsid w:val="002D438E"/>
    <w:rsid w:val="002D797D"/>
    <w:rsid w:val="002E002D"/>
    <w:rsid w:val="002E0DCD"/>
    <w:rsid w:val="002E28B6"/>
    <w:rsid w:val="002E5186"/>
    <w:rsid w:val="002E6A3D"/>
    <w:rsid w:val="002E6F29"/>
    <w:rsid w:val="002E6F30"/>
    <w:rsid w:val="002F0725"/>
    <w:rsid w:val="002F2C90"/>
    <w:rsid w:val="002F2FFD"/>
    <w:rsid w:val="00304B9D"/>
    <w:rsid w:val="00304FC5"/>
    <w:rsid w:val="003103C0"/>
    <w:rsid w:val="0031699B"/>
    <w:rsid w:val="00320556"/>
    <w:rsid w:val="00331665"/>
    <w:rsid w:val="00340FC0"/>
    <w:rsid w:val="0035329F"/>
    <w:rsid w:val="00360B48"/>
    <w:rsid w:val="00364B9D"/>
    <w:rsid w:val="00380045"/>
    <w:rsid w:val="00384022"/>
    <w:rsid w:val="00385555"/>
    <w:rsid w:val="00396F05"/>
    <w:rsid w:val="003D18BB"/>
    <w:rsid w:val="003D1E89"/>
    <w:rsid w:val="003D2835"/>
    <w:rsid w:val="003D5691"/>
    <w:rsid w:val="003D6FA8"/>
    <w:rsid w:val="003E6E8C"/>
    <w:rsid w:val="003F2829"/>
    <w:rsid w:val="0040090F"/>
    <w:rsid w:val="00402BA7"/>
    <w:rsid w:val="004055ED"/>
    <w:rsid w:val="00410FD3"/>
    <w:rsid w:val="004207B3"/>
    <w:rsid w:val="00426379"/>
    <w:rsid w:val="00431317"/>
    <w:rsid w:val="00441D10"/>
    <w:rsid w:val="00442FD2"/>
    <w:rsid w:val="004511A1"/>
    <w:rsid w:val="004645F9"/>
    <w:rsid w:val="00465528"/>
    <w:rsid w:val="00472C11"/>
    <w:rsid w:val="00473CBB"/>
    <w:rsid w:val="004765B4"/>
    <w:rsid w:val="004767A0"/>
    <w:rsid w:val="004776EB"/>
    <w:rsid w:val="0048465A"/>
    <w:rsid w:val="00486BC2"/>
    <w:rsid w:val="00487DEF"/>
    <w:rsid w:val="004914C8"/>
    <w:rsid w:val="00493CB4"/>
    <w:rsid w:val="004971D3"/>
    <w:rsid w:val="004A1432"/>
    <w:rsid w:val="004A4ADB"/>
    <w:rsid w:val="004B592B"/>
    <w:rsid w:val="004B5A88"/>
    <w:rsid w:val="004C6207"/>
    <w:rsid w:val="004D37EF"/>
    <w:rsid w:val="004D66B0"/>
    <w:rsid w:val="004E1763"/>
    <w:rsid w:val="004E1AEB"/>
    <w:rsid w:val="004E4D07"/>
    <w:rsid w:val="004E69FC"/>
    <w:rsid w:val="004E79BC"/>
    <w:rsid w:val="004F6550"/>
    <w:rsid w:val="0050567B"/>
    <w:rsid w:val="00507E56"/>
    <w:rsid w:val="00511177"/>
    <w:rsid w:val="0051227C"/>
    <w:rsid w:val="005154E8"/>
    <w:rsid w:val="00515EA2"/>
    <w:rsid w:val="00520EE8"/>
    <w:rsid w:val="00526921"/>
    <w:rsid w:val="005431A9"/>
    <w:rsid w:val="00562212"/>
    <w:rsid w:val="00566879"/>
    <w:rsid w:val="005677A6"/>
    <w:rsid w:val="00570D65"/>
    <w:rsid w:val="00570F1D"/>
    <w:rsid w:val="005925F1"/>
    <w:rsid w:val="0059470F"/>
    <w:rsid w:val="005A6A32"/>
    <w:rsid w:val="005B2C0B"/>
    <w:rsid w:val="005B540F"/>
    <w:rsid w:val="005B573D"/>
    <w:rsid w:val="005C14E5"/>
    <w:rsid w:val="005C558C"/>
    <w:rsid w:val="005D06DA"/>
    <w:rsid w:val="005D2B56"/>
    <w:rsid w:val="005E1153"/>
    <w:rsid w:val="005E1B0D"/>
    <w:rsid w:val="005E3156"/>
    <w:rsid w:val="005E7815"/>
    <w:rsid w:val="006015E2"/>
    <w:rsid w:val="00601D0F"/>
    <w:rsid w:val="00606A8B"/>
    <w:rsid w:val="006111E6"/>
    <w:rsid w:val="00612967"/>
    <w:rsid w:val="00613E68"/>
    <w:rsid w:val="00614C50"/>
    <w:rsid w:val="006264CC"/>
    <w:rsid w:val="00632B9A"/>
    <w:rsid w:val="00643B2B"/>
    <w:rsid w:val="0064469E"/>
    <w:rsid w:val="00644ED2"/>
    <w:rsid w:val="006460A5"/>
    <w:rsid w:val="006475DD"/>
    <w:rsid w:val="006649D0"/>
    <w:rsid w:val="00667BCD"/>
    <w:rsid w:val="0067150F"/>
    <w:rsid w:val="0067545D"/>
    <w:rsid w:val="00681525"/>
    <w:rsid w:val="00683FA5"/>
    <w:rsid w:val="00684468"/>
    <w:rsid w:val="00691FBE"/>
    <w:rsid w:val="00692A12"/>
    <w:rsid w:val="006A46B3"/>
    <w:rsid w:val="006A791B"/>
    <w:rsid w:val="006B6E21"/>
    <w:rsid w:val="006B7FFA"/>
    <w:rsid w:val="006C0D69"/>
    <w:rsid w:val="006D0096"/>
    <w:rsid w:val="006D2516"/>
    <w:rsid w:val="006D4329"/>
    <w:rsid w:val="006E2466"/>
    <w:rsid w:val="0070449A"/>
    <w:rsid w:val="00705517"/>
    <w:rsid w:val="00722F16"/>
    <w:rsid w:val="0073283E"/>
    <w:rsid w:val="0073776C"/>
    <w:rsid w:val="00740B07"/>
    <w:rsid w:val="00747EEB"/>
    <w:rsid w:val="00754F86"/>
    <w:rsid w:val="00770FBC"/>
    <w:rsid w:val="00771DCF"/>
    <w:rsid w:val="00776D92"/>
    <w:rsid w:val="00784C09"/>
    <w:rsid w:val="00790B77"/>
    <w:rsid w:val="007A26CD"/>
    <w:rsid w:val="007A31C6"/>
    <w:rsid w:val="007A76CF"/>
    <w:rsid w:val="007B138C"/>
    <w:rsid w:val="007B517B"/>
    <w:rsid w:val="007B60B2"/>
    <w:rsid w:val="007C0D74"/>
    <w:rsid w:val="007C0FBF"/>
    <w:rsid w:val="007C451A"/>
    <w:rsid w:val="007C4A3F"/>
    <w:rsid w:val="007C4E13"/>
    <w:rsid w:val="007D0953"/>
    <w:rsid w:val="007D36E5"/>
    <w:rsid w:val="007E5B0E"/>
    <w:rsid w:val="007F18DA"/>
    <w:rsid w:val="007F204A"/>
    <w:rsid w:val="008061E2"/>
    <w:rsid w:val="00810182"/>
    <w:rsid w:val="0081173D"/>
    <w:rsid w:val="008127BE"/>
    <w:rsid w:val="00815D34"/>
    <w:rsid w:val="00820000"/>
    <w:rsid w:val="00823308"/>
    <w:rsid w:val="008412F7"/>
    <w:rsid w:val="0084264E"/>
    <w:rsid w:val="0085364C"/>
    <w:rsid w:val="00854E06"/>
    <w:rsid w:val="008609FF"/>
    <w:rsid w:val="00876565"/>
    <w:rsid w:val="008A2642"/>
    <w:rsid w:val="008B0B2A"/>
    <w:rsid w:val="008B18A0"/>
    <w:rsid w:val="008C22B6"/>
    <w:rsid w:val="008C7316"/>
    <w:rsid w:val="008C7F30"/>
    <w:rsid w:val="008D1687"/>
    <w:rsid w:val="008D1E09"/>
    <w:rsid w:val="008D5080"/>
    <w:rsid w:val="008E0659"/>
    <w:rsid w:val="008F1F38"/>
    <w:rsid w:val="008F3C51"/>
    <w:rsid w:val="008F64EB"/>
    <w:rsid w:val="008F78C3"/>
    <w:rsid w:val="00902206"/>
    <w:rsid w:val="00906FB9"/>
    <w:rsid w:val="009113C8"/>
    <w:rsid w:val="009115D9"/>
    <w:rsid w:val="00921094"/>
    <w:rsid w:val="00932480"/>
    <w:rsid w:val="00932780"/>
    <w:rsid w:val="00934CAA"/>
    <w:rsid w:val="009421CA"/>
    <w:rsid w:val="0094647D"/>
    <w:rsid w:val="0095620F"/>
    <w:rsid w:val="0095643F"/>
    <w:rsid w:val="009607C0"/>
    <w:rsid w:val="00960FE7"/>
    <w:rsid w:val="00967920"/>
    <w:rsid w:val="009704DF"/>
    <w:rsid w:val="00972FCD"/>
    <w:rsid w:val="00984E45"/>
    <w:rsid w:val="00986FEB"/>
    <w:rsid w:val="00994457"/>
    <w:rsid w:val="009977ED"/>
    <w:rsid w:val="009C1F3E"/>
    <w:rsid w:val="009C6175"/>
    <w:rsid w:val="009D14EE"/>
    <w:rsid w:val="009E0B18"/>
    <w:rsid w:val="009F47A2"/>
    <w:rsid w:val="00A01276"/>
    <w:rsid w:val="00A051ED"/>
    <w:rsid w:val="00A23B84"/>
    <w:rsid w:val="00A24E7C"/>
    <w:rsid w:val="00A25C58"/>
    <w:rsid w:val="00A33940"/>
    <w:rsid w:val="00A359FF"/>
    <w:rsid w:val="00A36D60"/>
    <w:rsid w:val="00A42083"/>
    <w:rsid w:val="00A47C3F"/>
    <w:rsid w:val="00A52A29"/>
    <w:rsid w:val="00A52D2D"/>
    <w:rsid w:val="00A53B12"/>
    <w:rsid w:val="00A579A4"/>
    <w:rsid w:val="00A63DD1"/>
    <w:rsid w:val="00A73790"/>
    <w:rsid w:val="00A7515E"/>
    <w:rsid w:val="00A76C7C"/>
    <w:rsid w:val="00A8034E"/>
    <w:rsid w:val="00A830EA"/>
    <w:rsid w:val="00A91A9E"/>
    <w:rsid w:val="00AA58E7"/>
    <w:rsid w:val="00AB7E8C"/>
    <w:rsid w:val="00AD62AF"/>
    <w:rsid w:val="00AE1D3E"/>
    <w:rsid w:val="00AE320A"/>
    <w:rsid w:val="00AE62BF"/>
    <w:rsid w:val="00AF1506"/>
    <w:rsid w:val="00B02A6F"/>
    <w:rsid w:val="00B20E5A"/>
    <w:rsid w:val="00B2209C"/>
    <w:rsid w:val="00B245F9"/>
    <w:rsid w:val="00B2693B"/>
    <w:rsid w:val="00B3429D"/>
    <w:rsid w:val="00B37884"/>
    <w:rsid w:val="00B4361C"/>
    <w:rsid w:val="00B467C7"/>
    <w:rsid w:val="00B50464"/>
    <w:rsid w:val="00B573B6"/>
    <w:rsid w:val="00B633D2"/>
    <w:rsid w:val="00B63D1B"/>
    <w:rsid w:val="00B75250"/>
    <w:rsid w:val="00B841E9"/>
    <w:rsid w:val="00B90F5C"/>
    <w:rsid w:val="00B93C88"/>
    <w:rsid w:val="00B941BA"/>
    <w:rsid w:val="00BB1A06"/>
    <w:rsid w:val="00BB3826"/>
    <w:rsid w:val="00BB5CAD"/>
    <w:rsid w:val="00BC580B"/>
    <w:rsid w:val="00BE2844"/>
    <w:rsid w:val="00BE64E9"/>
    <w:rsid w:val="00BF0616"/>
    <w:rsid w:val="00BF0BBF"/>
    <w:rsid w:val="00BF39B7"/>
    <w:rsid w:val="00BF53D6"/>
    <w:rsid w:val="00C14AB7"/>
    <w:rsid w:val="00C22C2D"/>
    <w:rsid w:val="00C41C7A"/>
    <w:rsid w:val="00C43B18"/>
    <w:rsid w:val="00C6122B"/>
    <w:rsid w:val="00C61D0F"/>
    <w:rsid w:val="00C62D3B"/>
    <w:rsid w:val="00C75BFB"/>
    <w:rsid w:val="00C8075A"/>
    <w:rsid w:val="00C90601"/>
    <w:rsid w:val="00C91C57"/>
    <w:rsid w:val="00C95BA6"/>
    <w:rsid w:val="00CA7291"/>
    <w:rsid w:val="00CB063E"/>
    <w:rsid w:val="00CB1419"/>
    <w:rsid w:val="00CB2CA4"/>
    <w:rsid w:val="00CC1DC1"/>
    <w:rsid w:val="00CC250A"/>
    <w:rsid w:val="00CC4354"/>
    <w:rsid w:val="00CC6E87"/>
    <w:rsid w:val="00CF0D10"/>
    <w:rsid w:val="00D03841"/>
    <w:rsid w:val="00D068BE"/>
    <w:rsid w:val="00D10375"/>
    <w:rsid w:val="00D145B8"/>
    <w:rsid w:val="00D1795C"/>
    <w:rsid w:val="00D2211A"/>
    <w:rsid w:val="00D2441E"/>
    <w:rsid w:val="00D3052E"/>
    <w:rsid w:val="00D32AC0"/>
    <w:rsid w:val="00D45705"/>
    <w:rsid w:val="00D53122"/>
    <w:rsid w:val="00D6056F"/>
    <w:rsid w:val="00D62573"/>
    <w:rsid w:val="00D7200A"/>
    <w:rsid w:val="00D818AA"/>
    <w:rsid w:val="00D9201E"/>
    <w:rsid w:val="00DA7457"/>
    <w:rsid w:val="00DB124E"/>
    <w:rsid w:val="00DB1791"/>
    <w:rsid w:val="00DB4215"/>
    <w:rsid w:val="00DC24B5"/>
    <w:rsid w:val="00DD2D1E"/>
    <w:rsid w:val="00DD2F7D"/>
    <w:rsid w:val="00DD4F2F"/>
    <w:rsid w:val="00DD5FDF"/>
    <w:rsid w:val="00DF0E59"/>
    <w:rsid w:val="00DF193D"/>
    <w:rsid w:val="00DF706E"/>
    <w:rsid w:val="00DF71A3"/>
    <w:rsid w:val="00DF7FCE"/>
    <w:rsid w:val="00E07284"/>
    <w:rsid w:val="00E1181A"/>
    <w:rsid w:val="00E158DF"/>
    <w:rsid w:val="00E223AC"/>
    <w:rsid w:val="00E27B12"/>
    <w:rsid w:val="00E33590"/>
    <w:rsid w:val="00E35C67"/>
    <w:rsid w:val="00E430D6"/>
    <w:rsid w:val="00E471F7"/>
    <w:rsid w:val="00E51C18"/>
    <w:rsid w:val="00E67901"/>
    <w:rsid w:val="00E713DE"/>
    <w:rsid w:val="00E715C4"/>
    <w:rsid w:val="00E77963"/>
    <w:rsid w:val="00E82A2D"/>
    <w:rsid w:val="00E86A7E"/>
    <w:rsid w:val="00E960F1"/>
    <w:rsid w:val="00EA0CD2"/>
    <w:rsid w:val="00EA16D3"/>
    <w:rsid w:val="00EA16F9"/>
    <w:rsid w:val="00EA360C"/>
    <w:rsid w:val="00EB0434"/>
    <w:rsid w:val="00EB16BE"/>
    <w:rsid w:val="00EB3A1D"/>
    <w:rsid w:val="00EB584C"/>
    <w:rsid w:val="00EB78F2"/>
    <w:rsid w:val="00EC183E"/>
    <w:rsid w:val="00ED2582"/>
    <w:rsid w:val="00EE228C"/>
    <w:rsid w:val="00EE65CA"/>
    <w:rsid w:val="00F03141"/>
    <w:rsid w:val="00F058E8"/>
    <w:rsid w:val="00F1273B"/>
    <w:rsid w:val="00F12939"/>
    <w:rsid w:val="00F163F6"/>
    <w:rsid w:val="00F20E8A"/>
    <w:rsid w:val="00F301A8"/>
    <w:rsid w:val="00F34CC0"/>
    <w:rsid w:val="00F3660F"/>
    <w:rsid w:val="00F415AE"/>
    <w:rsid w:val="00F41D06"/>
    <w:rsid w:val="00F47F13"/>
    <w:rsid w:val="00F51049"/>
    <w:rsid w:val="00F5291E"/>
    <w:rsid w:val="00F56228"/>
    <w:rsid w:val="00F62D36"/>
    <w:rsid w:val="00F63079"/>
    <w:rsid w:val="00F637D8"/>
    <w:rsid w:val="00F64F05"/>
    <w:rsid w:val="00F85000"/>
    <w:rsid w:val="00F94165"/>
    <w:rsid w:val="00F9798D"/>
    <w:rsid w:val="00FA507C"/>
    <w:rsid w:val="00FB1C8F"/>
    <w:rsid w:val="00FB28DA"/>
    <w:rsid w:val="00FB438B"/>
    <w:rsid w:val="00FB57E2"/>
    <w:rsid w:val="00FC27C3"/>
    <w:rsid w:val="00FC5316"/>
    <w:rsid w:val="00FD2856"/>
    <w:rsid w:val="00FD4170"/>
    <w:rsid w:val="00FD4A0E"/>
    <w:rsid w:val="00FD5D98"/>
    <w:rsid w:val="00FE3C26"/>
    <w:rsid w:val="00FE6F00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911DC"/>
  <w15:docId w15:val="{AAD4177A-DDA9-48AF-9CF5-B8E6D43B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24B5"/>
    <w:rPr>
      <w:rFonts w:ascii="Calibri" w:eastAsia="Calibri" w:hAnsi="Calibri" w:cs="Calibri"/>
      <w:color w:val="000000"/>
    </w:rPr>
  </w:style>
  <w:style w:type="paragraph" w:styleId="Nadpis1">
    <w:name w:val="heading 1"/>
    <w:basedOn w:val="Normlny"/>
    <w:link w:val="Nadpis1Char"/>
    <w:uiPriority w:val="9"/>
    <w:qFormat/>
    <w:rsid w:val="00B94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ootnotedescription">
    <w:name w:val="footnote description"/>
    <w:next w:val="Normlny"/>
    <w:link w:val="footnotedescriptionChar"/>
    <w:hidden/>
    <w:pPr>
      <w:spacing w:after="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E471F7"/>
    <w:rPr>
      <w:color w:val="0563C1" w:themeColor="hyperlink"/>
      <w:u w:val="single"/>
    </w:rPr>
  </w:style>
  <w:style w:type="paragraph" w:styleId="Odsekzoznamu">
    <w:name w:val="List Paragraph"/>
    <w:aliases w:val="body,Odsek zoznamu2,Odsek,Table of contents numbered,List Paragraph (numbered (a)),1st level - Bullet List Paragraph,Paragrafo elenco,List Paragraph1,List Paragraph11,Lettre d'introduction,Medium Grid 1 - Accent 21,2,List Paragraph,Nad"/>
    <w:basedOn w:val="Normlny"/>
    <w:link w:val="OdsekzoznamuChar"/>
    <w:uiPriority w:val="34"/>
    <w:qFormat/>
    <w:rsid w:val="00BB5CAD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Siln">
    <w:name w:val="Strong"/>
    <w:basedOn w:val="Predvolenpsmoodseku"/>
    <w:uiPriority w:val="22"/>
    <w:qFormat/>
    <w:rsid w:val="005E1153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986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132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032BB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2BB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2BB7"/>
    <w:rPr>
      <w:rFonts w:ascii="Calibri" w:eastAsia="Calibri" w:hAnsi="Calibri" w:cs="Calibri"/>
      <w:color w:val="000000"/>
      <w:sz w:val="20"/>
      <w:szCs w:val="20"/>
    </w:rPr>
  </w:style>
  <w:style w:type="table" w:styleId="Mriekatabuky">
    <w:name w:val="Table Grid"/>
    <w:basedOn w:val="Normlnatabuka"/>
    <w:uiPriority w:val="39"/>
    <w:rsid w:val="0003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3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2BB7"/>
    <w:rPr>
      <w:rFonts w:ascii="Segoe UI" w:eastAsia="Calibri" w:hAnsi="Segoe UI" w:cs="Segoe UI"/>
      <w:color w:val="000000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16D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16D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poznmkypodiarou">
    <w:name w:val="footnote text"/>
    <w:aliases w:val="Text poznámky pod čiarou 007,_Poznámka pod čiarou,Stinking Styles2,Tekst przypisu- dokt,Char Char Char,Char Char Char Char Char Char Char Char Char,Char Char Char Char Char Char Char Char Char Char Char,Char Char Ch,o,Car,Char4"/>
    <w:basedOn w:val="Normlny"/>
    <w:link w:val="TextpoznmkypodiarouChar"/>
    <w:uiPriority w:val="99"/>
    <w:unhideWhenUsed/>
    <w:qFormat/>
    <w:rsid w:val="00A579A4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,Stinking Styles2 Char,Tekst przypisu- dokt Char,Char Char Char Char,Char Char Char Char Char Char Char Char Char Char,Char Char Ch Char,o Char,Car Char,Char4 Char"/>
    <w:basedOn w:val="Predvolenpsmoodseku"/>
    <w:link w:val="Textpoznmkypodiarou"/>
    <w:uiPriority w:val="99"/>
    <w:qFormat/>
    <w:rsid w:val="00A579A4"/>
    <w:rPr>
      <w:rFonts w:eastAsiaTheme="minorHAnsi"/>
      <w:sz w:val="20"/>
      <w:szCs w:val="20"/>
      <w:lang w:eastAsia="en-US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qFormat/>
    <w:rsid w:val="00A579A4"/>
    <w:rPr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B1791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104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B94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OdsekzoznamuChar">
    <w:name w:val="Odsek zoznamu Char"/>
    <w:aliases w:val="body Char,Odsek zoznamu2 Char,Odsek Char,Table of contents numbered Char,List Paragraph (numbered (a)) Char,1st level - Bullet List Paragraph Char,Paragrafo elenco Char,List Paragraph1 Char,List Paragraph11 Char,2 Char,Nad Char"/>
    <w:link w:val="Odsekzoznamu"/>
    <w:uiPriority w:val="34"/>
    <w:qFormat/>
    <w:locked/>
    <w:rsid w:val="00A01276"/>
    <w:rPr>
      <w:rFonts w:eastAsiaTheme="minorHAnsi"/>
      <w:lang w:eastAsia="en-US"/>
    </w:rPr>
  </w:style>
  <w:style w:type="character" w:customStyle="1" w:styleId="normaltextrun">
    <w:name w:val="normaltextrun"/>
    <w:basedOn w:val="Predvolenpsmoodseku"/>
    <w:rsid w:val="00002DC2"/>
  </w:style>
  <w:style w:type="character" w:styleId="Zvraznenie">
    <w:name w:val="Emphasis"/>
    <w:basedOn w:val="Predvolenpsmoodseku"/>
    <w:uiPriority w:val="20"/>
    <w:qFormat/>
    <w:rsid w:val="00D3052E"/>
    <w:rPr>
      <w:i/>
      <w:iCs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1C59EA"/>
    <w:rPr>
      <w:color w:val="605E5C"/>
      <w:shd w:val="clear" w:color="auto" w:fill="E1DFDD"/>
    </w:rPr>
  </w:style>
  <w:style w:type="paragraph" w:customStyle="1" w:styleId="Char2">
    <w:name w:val="Char2"/>
    <w:basedOn w:val="Normlny"/>
    <w:link w:val="Odkaznapoznmkupodiarou"/>
    <w:uiPriority w:val="99"/>
    <w:rsid w:val="00FB57E2"/>
    <w:pPr>
      <w:spacing w:line="240" w:lineRule="exact"/>
    </w:pPr>
    <w:rPr>
      <w:rFonts w:asciiTheme="minorHAnsi" w:eastAsiaTheme="minorEastAsia" w:hAnsiTheme="minorHAnsi" w:cstheme="minorBidi"/>
      <w:color w:val="auto"/>
      <w:vertAlign w:val="superscript"/>
    </w:rPr>
  </w:style>
  <w:style w:type="paragraph" w:styleId="Revzia">
    <w:name w:val="Revision"/>
    <w:hidden/>
    <w:uiPriority w:val="99"/>
    <w:semiHidden/>
    <w:rsid w:val="004971D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2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mri-eric.e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ww.bbmri-eric.eu/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bmri-eric.eu/" TargetMode="External"/><Relationship Id="rId2" Type="http://schemas.openxmlformats.org/officeDocument/2006/relationships/hyperlink" Target="https://vaia.gov.sk/sk/strategia-inteligentnej-specializacie-ris3-2/" TargetMode="External"/><Relationship Id="rId1" Type="http://schemas.openxmlformats.org/officeDocument/2006/relationships/hyperlink" Target="https://obchodnyvestnik.justice.gov.sk/Handlers/StiahnutPrilohu.ashx?IdPriloha=449477&amp;csrt=5433145967179138201" TargetMode="External"/><Relationship Id="rId5" Type="http://schemas.openxmlformats.org/officeDocument/2006/relationships/hyperlink" Target="https://eurofondy.gov.sk/dokumenty-a-publikacie/metodicke-dokumenty/" TargetMode="External"/><Relationship Id="rId4" Type="http://schemas.openxmlformats.org/officeDocument/2006/relationships/hyperlink" Target="https://eurofondy.gov.sk/dokumenty-a-publikacie/metodicke-dokumenty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8BA50-8879-42E6-8512-C2804CA1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4472</Words>
  <Characters>25491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Beňová, Barbora</dc:creator>
  <cp:keywords/>
  <cp:lastModifiedBy>Beňová, Barbora</cp:lastModifiedBy>
  <cp:revision>3</cp:revision>
  <dcterms:created xsi:type="dcterms:W3CDTF">2025-02-05T11:22:00Z</dcterms:created>
  <dcterms:modified xsi:type="dcterms:W3CDTF">2025-02-24T12:23:00Z</dcterms:modified>
</cp:coreProperties>
</file>