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10B3E" w14:textId="03D30902" w:rsidR="009E2EC1" w:rsidRDefault="00457D06" w:rsidP="00CF0A49">
      <w:pPr>
        <w:spacing w:after="0" w:line="240" w:lineRule="auto"/>
        <w:jc w:val="center"/>
        <w:rPr>
          <w:rFonts w:cstheme="minorHAnsi"/>
          <w:b/>
        </w:rPr>
      </w:pPr>
      <w:r w:rsidRPr="00C775E7">
        <w:rPr>
          <w:rFonts w:cstheme="minorHAnsi"/>
          <w:b/>
        </w:rPr>
        <w:t xml:space="preserve">Návrh </w:t>
      </w:r>
      <w:r w:rsidR="00375E07" w:rsidRPr="00C775E7">
        <w:rPr>
          <w:rFonts w:cstheme="minorHAnsi"/>
          <w:b/>
        </w:rPr>
        <w:t xml:space="preserve">na presuny </w:t>
      </w:r>
      <w:r w:rsidR="004F5BBD" w:rsidRPr="00C775E7">
        <w:rPr>
          <w:rFonts w:cstheme="minorHAnsi"/>
          <w:b/>
        </w:rPr>
        <w:t>územných alokácií RP a KR UMR v rámci IÚI mechanizmu</w:t>
      </w:r>
      <w:r w:rsidR="00CF0A49">
        <w:rPr>
          <w:rFonts w:cstheme="minorHAnsi"/>
          <w:b/>
        </w:rPr>
        <w:t xml:space="preserve"> </w:t>
      </w:r>
      <w:r w:rsidRPr="00BE6C37">
        <w:rPr>
          <w:rFonts w:cstheme="minorHAnsi"/>
          <w:b/>
        </w:rPr>
        <w:t>Programu Slovensko</w:t>
      </w:r>
    </w:p>
    <w:p w14:paraId="520D431B" w14:textId="18590B67" w:rsidR="00194F71" w:rsidRDefault="00194F71" w:rsidP="00CF0A49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2. fáza</w:t>
      </w:r>
    </w:p>
    <w:p w14:paraId="2B173E25" w14:textId="42213CC3" w:rsidR="00194F71" w:rsidRDefault="00194F71" w:rsidP="00CF0A49">
      <w:pPr>
        <w:spacing w:after="0" w:line="240" w:lineRule="auto"/>
        <w:jc w:val="center"/>
        <w:rPr>
          <w:rFonts w:cstheme="minorHAnsi"/>
          <w:b/>
        </w:rPr>
      </w:pPr>
    </w:p>
    <w:p w14:paraId="1024DE02" w14:textId="57AA9B81" w:rsidR="00194F71" w:rsidRPr="00BE6C37" w:rsidRDefault="00194F71" w:rsidP="00194F71">
      <w:pPr>
        <w:spacing w:after="0" w:line="240" w:lineRule="auto"/>
        <w:jc w:val="both"/>
        <w:rPr>
          <w:rFonts w:cstheme="minorHAnsi"/>
          <w:b/>
        </w:rPr>
      </w:pPr>
      <w:r w:rsidRPr="00BE6C37">
        <w:rPr>
          <w:rFonts w:cstheme="minorHAnsi"/>
        </w:rPr>
        <w:t xml:space="preserve">MIRRI SR ako riadiaci orgán (ďalej len „RO“) pre Program Slovensko predkladá na rokovanie Monitorovacieho výboru pre Program Slovensko 2021 – 2027 </w:t>
      </w:r>
      <w:r w:rsidRPr="00BE6C37">
        <w:rPr>
          <w:rFonts w:cstheme="minorHAnsi"/>
          <w:b/>
        </w:rPr>
        <w:t>návrh na presuny územných alokácií</w:t>
      </w:r>
      <w:r w:rsidR="005C003B">
        <w:rPr>
          <w:rFonts w:cstheme="minorHAnsi"/>
          <w:b/>
        </w:rPr>
        <w:t xml:space="preserve"> v celkovom objeme </w:t>
      </w:r>
      <w:del w:id="0" w:author="Dobroň, Michal" w:date="2025-01-23T09:43:00Z">
        <w:r w:rsidR="00697D30" w:rsidDel="00697D30">
          <w:rPr>
            <w:b/>
          </w:rPr>
          <w:delText>129 365 497</w:delText>
        </w:r>
      </w:del>
      <w:ins w:id="1" w:author="Dobroň, Michal" w:date="2025-01-23T09:43:00Z">
        <w:r w:rsidR="00697D30">
          <w:rPr>
            <w:b/>
          </w:rPr>
          <w:t>1</w:t>
        </w:r>
      </w:ins>
      <w:ins w:id="2" w:author="Dobroň, Michal" w:date="2025-01-23T12:09:00Z">
        <w:r w:rsidR="00303E02">
          <w:rPr>
            <w:b/>
          </w:rPr>
          <w:t>31</w:t>
        </w:r>
      </w:ins>
      <w:bookmarkStart w:id="3" w:name="_GoBack"/>
      <w:bookmarkEnd w:id="3"/>
      <w:ins w:id="4" w:author="Dobroň, Michal" w:date="2025-01-23T09:43:00Z">
        <w:r w:rsidR="00697D30">
          <w:rPr>
            <w:b/>
          </w:rPr>
          <w:t xml:space="preserve"> 319 846</w:t>
        </w:r>
      </w:ins>
      <w:r w:rsidR="005C003B" w:rsidRPr="005C003B">
        <w:rPr>
          <w:b/>
        </w:rPr>
        <w:t xml:space="preserve"> EUR</w:t>
      </w:r>
      <w:r w:rsidR="005C003B">
        <w:rPr>
          <w:rFonts w:cstheme="minorHAnsi"/>
          <w:b/>
        </w:rPr>
        <w:t xml:space="preserve"> </w:t>
      </w:r>
      <w:r w:rsidRPr="00BE6C37">
        <w:rPr>
          <w:rFonts w:cstheme="minorHAnsi"/>
          <w:b/>
        </w:rPr>
        <w:t xml:space="preserve"> v rámci IÚI mechanizmu nasledovne:</w:t>
      </w:r>
    </w:p>
    <w:p w14:paraId="2EE92217" w14:textId="4ED23C9B" w:rsidR="00D6299F" w:rsidRDefault="00D6299F" w:rsidP="00401C3F">
      <w:pPr>
        <w:spacing w:after="0" w:line="240" w:lineRule="auto"/>
        <w:jc w:val="center"/>
        <w:rPr>
          <w:rFonts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1302"/>
        <w:gridCol w:w="1418"/>
        <w:gridCol w:w="1331"/>
        <w:gridCol w:w="1448"/>
        <w:gridCol w:w="1357"/>
        <w:gridCol w:w="1357"/>
        <w:gridCol w:w="1357"/>
      </w:tblGrid>
      <w:tr w:rsidR="00323535" w:rsidRPr="00323535" w14:paraId="69FCD024" w14:textId="77777777" w:rsidTr="00323535">
        <w:trPr>
          <w:trHeight w:val="300"/>
        </w:trPr>
        <w:tc>
          <w:tcPr>
            <w:tcW w:w="4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3C1371B3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RO/SO</w:t>
            </w:r>
          </w:p>
        </w:tc>
        <w:tc>
          <w:tcPr>
            <w:tcW w:w="132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70C0"/>
            <w:noWrap/>
            <w:vAlign w:val="center"/>
            <w:hideMark/>
          </w:tcPr>
          <w:p w14:paraId="50FDAF3A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navýšenie</w:t>
            </w:r>
          </w:p>
        </w:tc>
        <w:tc>
          <w:tcPr>
            <w:tcW w:w="13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70C0"/>
            <w:noWrap/>
            <w:vAlign w:val="center"/>
            <w:hideMark/>
          </w:tcPr>
          <w:p w14:paraId="2F381DB0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zníženie</w:t>
            </w:r>
          </w:p>
        </w:tc>
        <w:tc>
          <w:tcPr>
            <w:tcW w:w="190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70C0"/>
            <w:noWrap/>
            <w:vAlign w:val="center"/>
            <w:hideMark/>
          </w:tcPr>
          <w:p w14:paraId="16D7A5B5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sumár</w:t>
            </w:r>
          </w:p>
        </w:tc>
      </w:tr>
      <w:tr w:rsidR="00323535" w:rsidRPr="00323535" w14:paraId="7028AF97" w14:textId="77777777" w:rsidTr="00323535">
        <w:trPr>
          <w:trHeight w:val="300"/>
        </w:trPr>
        <w:tc>
          <w:tcPr>
            <w:tcW w:w="4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9E88B" w14:textId="77777777" w:rsidR="00323535" w:rsidRPr="00323535" w:rsidRDefault="00323535" w:rsidP="003235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AF2D0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VRR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1F8FD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MRR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A038A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VRR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681E6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MRR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23A4F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VRR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3B5F4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MRR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1680F88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spolu</w:t>
            </w:r>
          </w:p>
        </w:tc>
      </w:tr>
      <w:tr w:rsidR="00323535" w:rsidRPr="00323535" w14:paraId="62A6B7CE" w14:textId="77777777" w:rsidTr="00323535">
        <w:trPr>
          <w:trHeight w:val="300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63E5363B" w14:textId="77777777" w:rsidR="00323535" w:rsidRPr="00323535" w:rsidRDefault="00323535" w:rsidP="003235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MIRRI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E515E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9 711 997,00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47E7C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73 771 804,00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50DEC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750 000,00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3FD64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5 545 525,00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C92F5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8 961 997,00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EB299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68 226 279,00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65925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548235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548235"/>
                <w:sz w:val="20"/>
                <w:szCs w:val="20"/>
                <w:lang w:eastAsia="sk-SK"/>
              </w:rPr>
              <w:t>77 188 276,00</w:t>
            </w:r>
          </w:p>
        </w:tc>
      </w:tr>
      <w:tr w:rsidR="00323535" w:rsidRPr="00323535" w14:paraId="3226C53B" w14:textId="77777777" w:rsidTr="00323535">
        <w:trPr>
          <w:trHeight w:val="300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30E65219" w14:textId="77777777" w:rsidR="00323535" w:rsidRPr="00323535" w:rsidRDefault="00323535" w:rsidP="003235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SIEA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85104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3 355 467,00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8C852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33 048 386,00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9984E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4A9C0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0FFAF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3 355 467,00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D9EFF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33 048 386,00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98A99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548235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548235"/>
                <w:sz w:val="20"/>
                <w:szCs w:val="20"/>
                <w:lang w:eastAsia="sk-SK"/>
              </w:rPr>
              <w:t>36 403 853,00</w:t>
            </w:r>
          </w:p>
        </w:tc>
      </w:tr>
      <w:tr w:rsidR="00323535" w:rsidRPr="00323535" w14:paraId="42A7A4C9" w14:textId="77777777" w:rsidTr="00323535">
        <w:trPr>
          <w:trHeight w:val="300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4694460" w14:textId="77777777" w:rsidR="00323535" w:rsidRPr="00323535" w:rsidRDefault="00323535" w:rsidP="003235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MZ SR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0C57B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4D8C5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1 716 901,00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CFCA5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5222D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D0930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66568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1 716 901,00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D2100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548235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548235"/>
                <w:sz w:val="20"/>
                <w:szCs w:val="20"/>
                <w:lang w:eastAsia="sk-SK"/>
              </w:rPr>
              <w:t>1 716 901,00</w:t>
            </w:r>
          </w:p>
        </w:tc>
      </w:tr>
      <w:tr w:rsidR="00323535" w:rsidRPr="00323535" w14:paraId="0B955616" w14:textId="77777777" w:rsidTr="00323535">
        <w:trPr>
          <w:trHeight w:val="300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34699E2B" w14:textId="77777777" w:rsidR="00323535" w:rsidRPr="00323535" w:rsidRDefault="00323535" w:rsidP="003235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MPSVR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5A7B8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01E5A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2 106 634,00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93ABD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1 200 000,00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F288D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24 309 455,00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34C10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-1 200 000,00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9ED6A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-22 202 821,00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5A8B1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  <w:t>-23 402 821,00</w:t>
            </w:r>
          </w:p>
        </w:tc>
      </w:tr>
      <w:tr w:rsidR="00323535" w:rsidRPr="00323535" w14:paraId="65D45FE1" w14:textId="77777777" w:rsidTr="00323535">
        <w:trPr>
          <w:trHeight w:val="300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7B143DEA" w14:textId="77777777" w:rsidR="00323535" w:rsidRPr="00323535" w:rsidRDefault="00323535" w:rsidP="003235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MD SR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8357D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8E370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3 392 689,00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A1028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AD1E2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36 906 546,00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28E9D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5E9C4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-33 513 857,00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5B7AE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  <w:t>-33 513 857,00</w:t>
            </w:r>
          </w:p>
        </w:tc>
      </w:tr>
      <w:tr w:rsidR="00323535" w:rsidRPr="00323535" w14:paraId="2755CB35" w14:textId="77777777" w:rsidTr="00323535">
        <w:trPr>
          <w:trHeight w:val="300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1F6F3A7E" w14:textId="77777777" w:rsidR="00323535" w:rsidRPr="00323535" w:rsidRDefault="00323535" w:rsidP="003235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MŽP SR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3C201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645C1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4 215 968,00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EC918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11 117 464,00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5583D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51 490 856,00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6F0AE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-11 117 464,00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C18DA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-47 274 888,00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254A4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  <w:t>-58 392 352,00</w:t>
            </w:r>
          </w:p>
        </w:tc>
      </w:tr>
      <w:tr w:rsidR="00323535" w:rsidRPr="00323535" w14:paraId="2BAACD5B" w14:textId="77777777" w:rsidTr="00323535">
        <w:trPr>
          <w:trHeight w:val="300"/>
        </w:trPr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21616980" w14:textId="77777777" w:rsidR="00323535" w:rsidRPr="00323535" w:rsidRDefault="00323535" w:rsidP="003235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924A6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13 067 464,00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FC348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118 252 382,00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365DF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13 067 464,00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7BEC7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118 252 382,00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EBCEC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8179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DF3B3" w14:textId="77777777" w:rsidR="00323535" w:rsidRPr="00323535" w:rsidRDefault="00323535" w:rsidP="003235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2353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0,00</w:t>
            </w:r>
          </w:p>
        </w:tc>
      </w:tr>
    </w:tbl>
    <w:p w14:paraId="23B50430" w14:textId="1CDE191B" w:rsidR="005C003B" w:rsidRPr="005C003B" w:rsidRDefault="005C003B" w:rsidP="005C003B"/>
    <w:p w14:paraId="2DF140F9" w14:textId="567591CC" w:rsidR="001661E7" w:rsidRDefault="00EF31B3" w:rsidP="00A24578">
      <w:pPr>
        <w:pStyle w:val="Nadpis2"/>
      </w:pPr>
      <w:r>
        <w:t>Návrhy na presuny alokácií v gescii MIRRI SR</w:t>
      </w:r>
    </w:p>
    <w:p w14:paraId="77671AF8" w14:textId="77777777" w:rsidR="003028C9" w:rsidRPr="003028C9" w:rsidRDefault="003028C9" w:rsidP="003028C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3386"/>
        <w:gridCol w:w="1398"/>
        <w:gridCol w:w="780"/>
        <w:gridCol w:w="862"/>
        <w:gridCol w:w="663"/>
        <w:gridCol w:w="780"/>
        <w:gridCol w:w="780"/>
        <w:gridCol w:w="862"/>
      </w:tblGrid>
      <w:tr w:rsidR="00323535" w:rsidRPr="00323535" w14:paraId="6ECB2D4B" w14:textId="77777777" w:rsidTr="00323535">
        <w:trPr>
          <w:trHeight w:val="400"/>
        </w:trPr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CBD7C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sk-SK"/>
              </w:rPr>
              <w:t>kód opatrenia / špecifického cieľa</w:t>
            </w:r>
          </w:p>
        </w:tc>
        <w:tc>
          <w:tcPr>
            <w:tcW w:w="1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922BDF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názov opatrenia / špecifického cieľa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DDCB06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 (RP)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BC2846A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zvýšenie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05EAB2D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zníženie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AD9C0ED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presuny</w:t>
            </w:r>
          </w:p>
        </w:tc>
      </w:tr>
      <w:tr w:rsidR="00323535" w:rsidRPr="00323535" w14:paraId="6E5B6E46" w14:textId="77777777" w:rsidTr="00323535">
        <w:trPr>
          <w:trHeight w:val="400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5975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09F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776ABA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IÚI-UMR (KR UMR)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046302C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FB2D037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9EAABB7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ACA6E3C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2F3DD11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074DD53" w14:textId="77777777" w:rsidR="00323535" w:rsidRPr="00323535" w:rsidRDefault="00323535" w:rsidP="0032353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</w:tr>
      <w:tr w:rsidR="00323535" w:rsidRPr="00323535" w14:paraId="5D415201" w14:textId="77777777" w:rsidTr="00323535">
        <w:trPr>
          <w:trHeight w:val="400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4A26B5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1.4.1</w:t>
            </w:r>
          </w:p>
        </w:tc>
        <w:tc>
          <w:tcPr>
            <w:tcW w:w="1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FBCDE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Zručnosti pre posilnenie konkurencieschopnosti a hospodárskeho rastu a budovanie kapacít pre SK RIS3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16073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1F474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FD820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2 200 000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70F75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CEA1E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AD3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6AD089B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2 200 000</w:t>
            </w:r>
          </w:p>
        </w:tc>
      </w:tr>
      <w:tr w:rsidR="00323535" w:rsidRPr="00323535" w14:paraId="113AB451" w14:textId="77777777" w:rsidTr="00323535">
        <w:trPr>
          <w:trHeight w:val="400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E6A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4D6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D7E22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0BDBA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F70AE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6A53A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18F52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45 446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BDA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5B3792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-45 446</w:t>
            </w:r>
          </w:p>
        </w:tc>
      </w:tr>
      <w:tr w:rsidR="00323535" w:rsidRPr="00323535" w14:paraId="186CF7A8" w14:textId="77777777" w:rsidTr="00323535">
        <w:trPr>
          <w:trHeight w:val="400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4244C4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1.2.2</w:t>
            </w:r>
          </w:p>
        </w:tc>
        <w:tc>
          <w:tcPr>
            <w:tcW w:w="1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639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budovania inteligentných miest a regiónov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4DE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892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83E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C32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9CA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019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D8A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</w:tr>
      <w:tr w:rsidR="00323535" w:rsidRPr="00323535" w14:paraId="724D7733" w14:textId="77777777" w:rsidTr="00323535">
        <w:trPr>
          <w:trHeight w:val="400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B23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94B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F4D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C29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7AA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45 446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950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46B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B8C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144D3DE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45 446</w:t>
            </w:r>
          </w:p>
        </w:tc>
      </w:tr>
      <w:tr w:rsidR="00323535" w:rsidRPr="00323535" w14:paraId="5BE94FDB" w14:textId="77777777" w:rsidTr="00323535">
        <w:trPr>
          <w:trHeight w:val="400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0E2D20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2.5.3</w:t>
            </w:r>
          </w:p>
        </w:tc>
        <w:tc>
          <w:tcPr>
            <w:tcW w:w="1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9FD24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infraštruktúry v oblasti nakladania s komunálnymi odpadovými vodami v aglomeráciách do 2 000 EO v dobiehajúcich regiónoch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5293B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F95D2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773ED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4 000 000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B2953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14753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9FD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0C19FC1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4 000 000</w:t>
            </w:r>
          </w:p>
        </w:tc>
      </w:tr>
      <w:tr w:rsidR="00323535" w:rsidRPr="00323535" w14:paraId="33F99B2D" w14:textId="77777777" w:rsidTr="00323535">
        <w:trPr>
          <w:trHeight w:val="400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594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3C98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E6D86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0875C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9C34E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291 730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A57BC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8B212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306 484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433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B13719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-14 754</w:t>
            </w:r>
          </w:p>
        </w:tc>
      </w:tr>
      <w:tr w:rsidR="00323535" w:rsidRPr="00323535" w14:paraId="4D7C1AFE" w14:textId="77777777" w:rsidTr="00323535">
        <w:trPr>
          <w:trHeight w:val="400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C2E7C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2.5.5</w:t>
            </w:r>
          </w:p>
        </w:tc>
        <w:tc>
          <w:tcPr>
            <w:tcW w:w="1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ED1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Zabezpečenie prístupu k pitnej vode a nakladania s komunálnymi odpadovými vodami v obciach do 2 000 EO v dobiehajúcich regiónoch 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D0B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C12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17D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1 000 000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53B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9D2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5BB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7745D7F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1 000 000</w:t>
            </w:r>
          </w:p>
        </w:tc>
      </w:tr>
      <w:tr w:rsidR="00323535" w:rsidRPr="00323535" w14:paraId="6EE3836E" w14:textId="77777777" w:rsidTr="00323535">
        <w:trPr>
          <w:trHeight w:val="400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558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A19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E24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1E5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24E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9F1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01C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231 130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39F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D4B5AB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-231 130</w:t>
            </w:r>
          </w:p>
        </w:tc>
      </w:tr>
      <w:tr w:rsidR="00323535" w:rsidRPr="00323535" w14:paraId="1B5D647D" w14:textId="77777777" w:rsidTr="00323535">
        <w:trPr>
          <w:trHeight w:val="400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935FD3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2.7.4</w:t>
            </w:r>
          </w:p>
        </w:tc>
        <w:tc>
          <w:tcPr>
            <w:tcW w:w="1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3FC9F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budovania prvkov zelenej a modrej infraštruktúry v obciach a mestách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3428A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0773C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5 955 206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F1FB4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1 110 625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41A60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8B9FE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47824BB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5 955 206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6C9E98E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1 110 625</w:t>
            </w:r>
          </w:p>
        </w:tc>
      </w:tr>
      <w:tr w:rsidR="00323535" w:rsidRPr="00323535" w14:paraId="03995897" w14:textId="77777777" w:rsidTr="00323535">
        <w:trPr>
          <w:trHeight w:val="400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BF4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565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7C4D5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B0584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1 806 791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385D5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27 531 945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6089A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8D790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4667CAC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1 806 791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16DBA6C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27 531 945</w:t>
            </w:r>
          </w:p>
        </w:tc>
      </w:tr>
      <w:tr w:rsidR="00323535" w:rsidRPr="00323535" w14:paraId="2CF78F8B" w14:textId="77777777" w:rsidTr="00323535">
        <w:trPr>
          <w:trHeight w:val="400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E852D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2.8.2</w:t>
            </w:r>
          </w:p>
        </w:tc>
        <w:tc>
          <w:tcPr>
            <w:tcW w:w="1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3F4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cyklodopravy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391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62E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043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6 112 690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C88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D9F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6FB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48A9964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6 112 690</w:t>
            </w:r>
          </w:p>
        </w:tc>
      </w:tr>
      <w:tr w:rsidR="00323535" w:rsidRPr="00323535" w14:paraId="29C83840" w14:textId="77777777" w:rsidTr="00323535">
        <w:trPr>
          <w:trHeight w:val="400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9F3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B58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227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CC9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119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8 431 777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283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A55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09B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1BDA890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8 431 777</w:t>
            </w:r>
          </w:p>
        </w:tc>
      </w:tr>
      <w:tr w:rsidR="00323535" w:rsidRPr="00323535" w14:paraId="29A3789D" w14:textId="77777777" w:rsidTr="00323535">
        <w:trPr>
          <w:trHeight w:val="500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122AD2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3.2.3</w:t>
            </w:r>
          </w:p>
        </w:tc>
        <w:tc>
          <w:tcPr>
            <w:tcW w:w="1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59194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Odstránenie kľúčových úzkych miest na cestnej infraštruktúre a zlepšenie regionálnej mobility prostredníctvom modernizácie a výstavby ciest II. a III. Triedy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B21B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B950E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622B0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4 000 000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19755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B7ADF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1C3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1DDC5B3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4 000 000</w:t>
            </w:r>
          </w:p>
        </w:tc>
      </w:tr>
      <w:tr w:rsidR="00323535" w:rsidRPr="00323535" w14:paraId="6DCA090E" w14:textId="77777777" w:rsidTr="00323535">
        <w:trPr>
          <w:trHeight w:val="500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E4A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5DF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B7A64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72813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D477F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0A4BB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078C4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C06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3C1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</w:tr>
      <w:tr w:rsidR="00323535" w:rsidRPr="00323535" w14:paraId="31BA1F07" w14:textId="77777777" w:rsidTr="00323535">
        <w:trPr>
          <w:trHeight w:val="400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ACA61F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3.2.4</w:t>
            </w:r>
          </w:p>
        </w:tc>
        <w:tc>
          <w:tcPr>
            <w:tcW w:w="1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E83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Miestne komunikácie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7BB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1CD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B21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5 635 912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B62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FC6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1B9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49753D3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5 635 912</w:t>
            </w:r>
          </w:p>
        </w:tc>
      </w:tr>
      <w:tr w:rsidR="00323535" w:rsidRPr="00323535" w14:paraId="49708472" w14:textId="77777777" w:rsidTr="00323535">
        <w:trPr>
          <w:trHeight w:val="400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44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EF1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444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4CB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509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499 808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771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A85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F8A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0C4B8D1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499 808</w:t>
            </w:r>
          </w:p>
        </w:tc>
      </w:tr>
      <w:tr w:rsidR="00323535" w:rsidRPr="00323535" w14:paraId="60F69534" w14:textId="77777777" w:rsidTr="00323535">
        <w:trPr>
          <w:trHeight w:val="620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C95E22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RSO4.2</w:t>
            </w:r>
          </w:p>
        </w:tc>
        <w:tc>
          <w:tcPr>
            <w:tcW w:w="17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0E83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Zlepšenia rovného prístupu k inkluzívnym a kvalitným službám v oblasti vzdelávania, odbornej prípravy a celoživotného vzdelávania rozvíjaním dostupnej infraštruktúry vrátane posilňovania odolnosti pre dištančné a online vzdelávanie a odbornú prípravu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A9C3A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C2A0B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1 950 000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9BC91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981 347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7F78C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499EA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3F5801C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1 950 000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2E49D17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981 347</w:t>
            </w:r>
          </w:p>
        </w:tc>
      </w:tr>
      <w:tr w:rsidR="00323535" w:rsidRPr="00323535" w14:paraId="20AD24AC" w14:textId="77777777" w:rsidTr="00323535">
        <w:trPr>
          <w:trHeight w:val="620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E23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</w:p>
        </w:tc>
        <w:tc>
          <w:tcPr>
            <w:tcW w:w="17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B77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B0A4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F6FD0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567D8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6 872 315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1A07C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A9E49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59A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6382817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6 872 315</w:t>
            </w:r>
          </w:p>
        </w:tc>
      </w:tr>
      <w:tr w:rsidR="00323535" w:rsidRPr="00323535" w14:paraId="39B63035" w14:textId="77777777" w:rsidTr="00323535">
        <w:trPr>
          <w:trHeight w:val="90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D6492A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lastRenderedPageBreak/>
              <w:t>5.1.1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FFE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Investície do rozvoja administratívnych a analyticko-strategických kapacít miestnych a regionálnych samospráv a mimovládnych neziskových organizácií pôsobiacich v komunite alebo partnerov pôsobiacich v komunite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B02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EE2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2EC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80D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0F0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418 150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4AB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572370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-418 150</w:t>
            </w:r>
          </w:p>
        </w:tc>
      </w:tr>
      <w:tr w:rsidR="00323535" w:rsidRPr="00323535" w14:paraId="4ED2F160" w14:textId="77777777" w:rsidTr="00323535">
        <w:trPr>
          <w:trHeight w:val="140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D64364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5.1.2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83E1A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Investície zvyšujúce kvalitu verejných politík a odolnosť demokracie prostredníctvom projektov spolupráce v komunite občianskej spoločnosti a komunity partnerov a samosprávy, prípadne intervenčné projekty v komunite občianskej spoločnosti a komunity partnerov a samosprávy na zvýšenie kvality verejných politík a odolnosť demokracie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7531B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01161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B95DA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4B903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E843D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259 327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F30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49B8F3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-259 327</w:t>
            </w:r>
          </w:p>
        </w:tc>
      </w:tr>
      <w:tr w:rsidR="00323535" w:rsidRPr="00323535" w14:paraId="464CF139" w14:textId="77777777" w:rsidTr="00323535">
        <w:trPr>
          <w:trHeight w:val="70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D82BE0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5.1.4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D75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Investície do regionálnej a miestnej infraštruktúry pre pohybové aktivity, cykloturistiku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819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449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406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651 477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BBE8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A34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89A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6F2DACD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651 477</w:t>
            </w:r>
          </w:p>
        </w:tc>
      </w:tr>
      <w:tr w:rsidR="00323535" w:rsidRPr="00323535" w14:paraId="4AB4E94B" w14:textId="77777777" w:rsidTr="00323535">
        <w:trPr>
          <w:trHeight w:val="140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F033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5.1.5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BBBB0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Investície do kultúrneho a prírodného dedičstva, miestnej a regionálnej kultúry, manažmentu, služieb a infraštruktúry podporujúcich komunitný rozvoj a udržateľný cestovný ruch - Infraštruktúra cestovného ruchu - mestské oblasti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022DF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AB4344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40410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1 204 450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0B5B4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BA3D7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2 000 000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C35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E55C00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-795 550</w:t>
            </w:r>
          </w:p>
        </w:tc>
      </w:tr>
      <w:tr w:rsidR="00323535" w:rsidRPr="00323535" w14:paraId="10F80985" w14:textId="77777777" w:rsidTr="00323535">
        <w:trPr>
          <w:trHeight w:val="140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966BBC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5.1.6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EA2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Európske hlavné mesto kultúry 2026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D09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D739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592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2 000 000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31C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45C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B18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428C071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2 000 000</w:t>
            </w:r>
          </w:p>
        </w:tc>
      </w:tr>
      <w:tr w:rsidR="00323535" w:rsidRPr="00323535" w14:paraId="7F2645F3" w14:textId="77777777" w:rsidTr="00323535">
        <w:trPr>
          <w:trHeight w:val="140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691EDD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5.2.1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5DFF4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Investície do rozvoja administratívnych a analyticko-strategických kapacít miestnych a regionálnych samospráv a mimovládnych neziskových organizácií pôsobiacich v komunite alebo partnerov pôsobiacich v komunite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1682F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ABC8B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3F5C0E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BB8DE7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250 000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3FCAD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946 507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C552725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-250 000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9CB812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-946 507</w:t>
            </w:r>
          </w:p>
        </w:tc>
      </w:tr>
      <w:tr w:rsidR="00323535" w:rsidRPr="00323535" w14:paraId="0B452E22" w14:textId="77777777" w:rsidTr="00323535">
        <w:trPr>
          <w:trHeight w:val="140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A566F7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5.2.2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041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Investície zvyšujúce kvalitu verejných politík a odolnosť demokracie prostredníctvom projektov spolupráce v komunite občianskej spoločnosti a komunity partnerov a samosprávy, prípadne intervenčné projekty v komunite občianskej spoločnosti a komunity partnerov a samosprávy na zvýšenie kvality verejných politík a odolnosť demokracie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00E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E65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BA2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F06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500 000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08D1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1 338 481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D5232D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-500 000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576025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-1 338 481</w:t>
            </w:r>
          </w:p>
        </w:tc>
      </w:tr>
      <w:tr w:rsidR="00323535" w:rsidRPr="00323535" w14:paraId="473B7374" w14:textId="77777777" w:rsidTr="00323535">
        <w:trPr>
          <w:trHeight w:val="70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807965B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sk-SK"/>
              </w:rPr>
              <w:t>5.2.4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201040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Investície do regionálnej a miestnej infraštruktúry pre pohybové aktivity, cykloturistiku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1C565F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2A3C4D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581BE2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1 202 282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3272A3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64A046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6554BA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22703F5C" w14:textId="77777777" w:rsidR="00323535" w:rsidRPr="00323535" w:rsidRDefault="00323535" w:rsidP="00323535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23535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1 202 282</w:t>
            </w:r>
          </w:p>
        </w:tc>
      </w:tr>
    </w:tbl>
    <w:p w14:paraId="216BD69D" w14:textId="77777777" w:rsidR="00EF31B3" w:rsidRPr="00BE6C37" w:rsidRDefault="00EF31B3" w:rsidP="00BE6C37">
      <w:pPr>
        <w:spacing w:after="120" w:line="240" w:lineRule="auto"/>
        <w:jc w:val="both"/>
        <w:rPr>
          <w:rFonts w:cstheme="minorHAnsi"/>
          <w:b/>
        </w:rPr>
      </w:pPr>
    </w:p>
    <w:p w14:paraId="30AA8565" w14:textId="590801E5" w:rsidR="004C3D6F" w:rsidRPr="00C775E7" w:rsidRDefault="00793633" w:rsidP="00EF31B3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T</w:t>
      </w:r>
      <w:r w:rsidR="004C3D6F" w:rsidRPr="00C775E7">
        <w:rPr>
          <w:rFonts w:cstheme="minorHAnsi"/>
        </w:rPr>
        <w:t>abuľka presunov tvorí Prílohu č. 1 tohto materiálu.</w:t>
      </w:r>
    </w:p>
    <w:p w14:paraId="18CC3542" w14:textId="362B573A" w:rsidR="004C3D6F" w:rsidRPr="00C775E7" w:rsidRDefault="004C3D6F" w:rsidP="00C775E7">
      <w:pPr>
        <w:spacing w:after="120" w:line="240" w:lineRule="auto"/>
        <w:ind w:left="2124" w:hanging="2124"/>
        <w:jc w:val="both"/>
        <w:rPr>
          <w:rFonts w:cstheme="minorHAnsi"/>
        </w:rPr>
      </w:pPr>
    </w:p>
    <w:p w14:paraId="7487BA11" w14:textId="2EABCCD6" w:rsidR="00EF31B3" w:rsidRDefault="004F5BBD" w:rsidP="00EF31B3">
      <w:pPr>
        <w:pStyle w:val="Nadpis2"/>
        <w:spacing w:after="120" w:line="240" w:lineRule="auto"/>
        <w:jc w:val="both"/>
      </w:pPr>
      <w:r w:rsidRPr="005A6FF6">
        <w:t xml:space="preserve">Návrh na </w:t>
      </w:r>
      <w:r w:rsidR="00EF31B3">
        <w:t>presuny alokácií v gescii SIEA</w:t>
      </w:r>
    </w:p>
    <w:p w14:paraId="0FDDF633" w14:textId="77777777" w:rsidR="003028C9" w:rsidRPr="003028C9" w:rsidRDefault="003028C9" w:rsidP="003028C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9"/>
        <w:gridCol w:w="2679"/>
        <w:gridCol w:w="1595"/>
        <w:gridCol w:w="860"/>
        <w:gridCol w:w="952"/>
        <w:gridCol w:w="782"/>
        <w:gridCol w:w="840"/>
        <w:gridCol w:w="886"/>
        <w:gridCol w:w="993"/>
      </w:tblGrid>
      <w:tr w:rsidR="00EF31B3" w:rsidRPr="00A24578" w14:paraId="7C199950" w14:textId="77777777" w:rsidTr="00A24578">
        <w:trPr>
          <w:trHeight w:val="290"/>
        </w:trPr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14:paraId="16AB1303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  <w:t>kód opatrenia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C0521B9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  <w:t>názov opatrenia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EB8E10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  <w:t>IÚI (RP)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6B5C180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zvýšenie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bottom"/>
            <w:hideMark/>
          </w:tcPr>
          <w:p w14:paraId="05CCFC22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zníženie</w:t>
            </w:r>
          </w:p>
        </w:tc>
        <w:tc>
          <w:tcPr>
            <w:tcW w:w="9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bottom"/>
            <w:hideMark/>
          </w:tcPr>
          <w:p w14:paraId="23F15369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presuny</w:t>
            </w:r>
          </w:p>
        </w:tc>
      </w:tr>
      <w:tr w:rsidR="00EF31B3" w:rsidRPr="00A24578" w14:paraId="2384FBCB" w14:textId="77777777" w:rsidTr="00A24578">
        <w:trPr>
          <w:trHeight w:val="290"/>
        </w:trPr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9EC6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1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16EE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0276BD2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  <w:t>IÚI -UMR (KR UMR)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bottom"/>
            <w:hideMark/>
          </w:tcPr>
          <w:p w14:paraId="13603C72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VRR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bottom"/>
            <w:hideMark/>
          </w:tcPr>
          <w:p w14:paraId="6DFB9D21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MRR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bottom"/>
            <w:hideMark/>
          </w:tcPr>
          <w:p w14:paraId="68C7F246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VRR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bottom"/>
            <w:hideMark/>
          </w:tcPr>
          <w:p w14:paraId="59A647DC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MRR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bottom"/>
            <w:hideMark/>
          </w:tcPr>
          <w:p w14:paraId="5B1FBA5B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VRR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bottom"/>
            <w:hideMark/>
          </w:tcPr>
          <w:p w14:paraId="6B3D236D" w14:textId="77777777" w:rsidR="00EF31B3" w:rsidRPr="00A24578" w:rsidRDefault="00EF31B3" w:rsidP="00EF31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MRR</w:t>
            </w:r>
          </w:p>
        </w:tc>
      </w:tr>
      <w:tr w:rsidR="00EF31B3" w:rsidRPr="00A24578" w14:paraId="609E0953" w14:textId="77777777" w:rsidTr="00EF31B3">
        <w:trPr>
          <w:trHeight w:val="290"/>
        </w:trPr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FBC6380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  <w:t>2.1.2</w:t>
            </w:r>
          </w:p>
        </w:tc>
        <w:tc>
          <w:tcPr>
            <w:tcW w:w="12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0DA7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Znižovanie energetickej náročnosti budov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8594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IÚI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444C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0708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3 000 000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7548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078C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8624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0C16C55C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  <w:t>3 000 000</w:t>
            </w:r>
          </w:p>
        </w:tc>
      </w:tr>
      <w:tr w:rsidR="00EF31B3" w:rsidRPr="00A24578" w14:paraId="565D2B3B" w14:textId="77777777" w:rsidTr="00EF31B3">
        <w:trPr>
          <w:trHeight w:val="290"/>
        </w:trPr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AA1E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1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30920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14BA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IÚI-UMR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E00A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2 839 242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A982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28 653 919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E42D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673D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74A287A4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  <w:t>2 839 242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1A3AA1C8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  <w:t>28 653 919</w:t>
            </w:r>
          </w:p>
        </w:tc>
      </w:tr>
      <w:tr w:rsidR="00EF31B3" w:rsidRPr="00A24578" w14:paraId="3AB22C1B" w14:textId="77777777" w:rsidTr="00EF31B3">
        <w:trPr>
          <w:trHeight w:val="290"/>
        </w:trPr>
        <w:tc>
          <w:tcPr>
            <w:tcW w:w="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F504B67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  <w:t>2.2.2</w:t>
            </w:r>
          </w:p>
        </w:tc>
        <w:tc>
          <w:tcPr>
            <w:tcW w:w="12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98782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Podpora využívania OZE v systémoch zásobovania energiou 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805EF1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IÚI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C71FCA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1B52DD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46B0E4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FCF50A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517525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07F797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EF31B3" w:rsidRPr="00A24578" w14:paraId="1EB9A5EE" w14:textId="77777777" w:rsidTr="00EF31B3">
        <w:trPr>
          <w:trHeight w:val="290"/>
        </w:trPr>
        <w:tc>
          <w:tcPr>
            <w:tcW w:w="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CFE3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sk-SK"/>
              </w:rPr>
            </w:pPr>
          </w:p>
        </w:tc>
        <w:tc>
          <w:tcPr>
            <w:tcW w:w="1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2DA0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293E20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IÚI-UMR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113CA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516 225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A0EEC6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1 394 467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F4D2DB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4A0CD9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3FDBD33F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  <w:t>516 225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6F43FFCF" w14:textId="77777777" w:rsidR="00EF31B3" w:rsidRPr="00A24578" w:rsidRDefault="00EF31B3" w:rsidP="00EF31B3">
            <w:pPr>
              <w:spacing w:after="0" w:line="240" w:lineRule="auto"/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</w:pPr>
            <w:r w:rsidRPr="00A24578">
              <w:rPr>
                <w:rFonts w:eastAsia="Times New Roman" w:cstheme="minorHAnsi"/>
                <w:color w:val="006100"/>
                <w:sz w:val="18"/>
                <w:szCs w:val="18"/>
                <w:lang w:eastAsia="sk-SK"/>
              </w:rPr>
              <w:t>1 394 467</w:t>
            </w:r>
          </w:p>
        </w:tc>
      </w:tr>
    </w:tbl>
    <w:p w14:paraId="3EFC52B4" w14:textId="77777777" w:rsidR="00EF31B3" w:rsidRPr="00EF31B3" w:rsidRDefault="00EF31B3" w:rsidP="00EF31B3"/>
    <w:p w14:paraId="6A166B65" w14:textId="16A14449" w:rsidR="00207548" w:rsidRPr="00BE6C37" w:rsidRDefault="00793633" w:rsidP="00BE6C37">
      <w:pPr>
        <w:spacing w:before="120" w:after="0" w:line="240" w:lineRule="auto"/>
        <w:ind w:left="2126" w:hanging="2126"/>
        <w:jc w:val="both"/>
        <w:rPr>
          <w:rFonts w:cstheme="minorHAnsi"/>
        </w:rPr>
      </w:pPr>
      <w:r>
        <w:rPr>
          <w:rFonts w:cstheme="minorHAnsi"/>
        </w:rPr>
        <w:t>T</w:t>
      </w:r>
      <w:r w:rsidR="00207548" w:rsidRPr="00BE6C37">
        <w:rPr>
          <w:rFonts w:cstheme="minorHAnsi"/>
        </w:rPr>
        <w:t>ab</w:t>
      </w:r>
      <w:r w:rsidR="00EF31B3">
        <w:rPr>
          <w:rFonts w:cstheme="minorHAnsi"/>
        </w:rPr>
        <w:t>uľka presunov tvorí Prílohu č. 2</w:t>
      </w:r>
      <w:r w:rsidR="00207548" w:rsidRPr="00BE6C37">
        <w:rPr>
          <w:rFonts w:cstheme="minorHAnsi"/>
        </w:rPr>
        <w:t xml:space="preserve"> tohto materiálu.</w:t>
      </w:r>
    </w:p>
    <w:p w14:paraId="5C85697E" w14:textId="3814AABB" w:rsidR="00207548" w:rsidRDefault="00207548" w:rsidP="00C775E7">
      <w:pPr>
        <w:spacing w:after="120" w:line="240" w:lineRule="auto"/>
        <w:ind w:left="2124" w:hanging="2124"/>
        <w:jc w:val="both"/>
        <w:rPr>
          <w:rFonts w:cstheme="minorHAnsi"/>
        </w:rPr>
      </w:pPr>
    </w:p>
    <w:p w14:paraId="380B1907" w14:textId="047B7900" w:rsidR="00C02984" w:rsidRDefault="00C02984" w:rsidP="00A24578">
      <w:pPr>
        <w:pStyle w:val="Nadpis2"/>
      </w:pPr>
      <w:r w:rsidRPr="000B2AE8">
        <w:lastRenderedPageBreak/>
        <w:t>Návrh n</w:t>
      </w:r>
      <w:r w:rsidR="00A24578">
        <w:t>a presuny alokácií v gescii MZ SR</w:t>
      </w:r>
    </w:p>
    <w:p w14:paraId="0FDDA3C2" w14:textId="77777777" w:rsidR="003028C9" w:rsidRPr="003028C9" w:rsidRDefault="003028C9" w:rsidP="003028C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3997"/>
        <w:gridCol w:w="1398"/>
        <w:gridCol w:w="463"/>
        <w:gridCol w:w="967"/>
        <w:gridCol w:w="709"/>
        <w:gridCol w:w="762"/>
        <w:gridCol w:w="500"/>
        <w:gridCol w:w="1041"/>
      </w:tblGrid>
      <w:tr w:rsidR="00A24578" w:rsidRPr="00A24578" w14:paraId="3F9829D9" w14:textId="77777777" w:rsidTr="00A24578">
        <w:trPr>
          <w:trHeight w:val="290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2FA91AB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kód ŠC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1B304A4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názov opatrenia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C5F846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 (RP)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4D26719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zvýšenie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6CA29D5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zníženie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4B3C4F8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presuny</w:t>
            </w:r>
          </w:p>
        </w:tc>
      </w:tr>
      <w:tr w:rsidR="00A24578" w:rsidRPr="00A24578" w14:paraId="345CBBB6" w14:textId="77777777" w:rsidTr="00A24578">
        <w:trPr>
          <w:trHeight w:val="290"/>
        </w:trPr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35CF" w14:textId="77777777" w:rsidR="00A24578" w:rsidRPr="00A24578" w:rsidRDefault="00A24578" w:rsidP="00A2457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F2716" w14:textId="77777777" w:rsidR="00A24578" w:rsidRPr="00A24578" w:rsidRDefault="00A24578" w:rsidP="00A2457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1CB2525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IÚI-UMR (KR UMR)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95CF873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EB41EDC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2F10918D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29AC8778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AD5D7BD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8C262FF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</w:tr>
      <w:tr w:rsidR="00A24578" w:rsidRPr="00A24578" w14:paraId="33F1A275" w14:textId="77777777" w:rsidTr="00A24578">
        <w:trPr>
          <w:trHeight w:val="400"/>
        </w:trPr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499FE3F" w14:textId="77777777" w:rsidR="00A24578" w:rsidRPr="00A24578" w:rsidRDefault="00A24578" w:rsidP="00A245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RSO4.5</w:t>
            </w:r>
          </w:p>
        </w:tc>
        <w:tc>
          <w:tcPr>
            <w:tcW w:w="19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9B85" w14:textId="77777777" w:rsidR="00A24578" w:rsidRPr="00A24578" w:rsidRDefault="00A24578" w:rsidP="00A2457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Zabezpečenia rovného prístupu k zdravotnej starostlivosti a zvýšením odolnosti systémov zdravotnej starostlivosti vrátane primárnej starostlivosti, a podpory prechodu z inštitucionálnej starostlivosti na rodinnú a komunitnú starostlivosť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EE9E" w14:textId="77777777" w:rsidR="00A24578" w:rsidRPr="00A24578" w:rsidRDefault="00A24578" w:rsidP="00A245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112C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936F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1 716 901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E9FB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2829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8EF9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47B2DDBE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61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006100"/>
                <w:sz w:val="16"/>
                <w:szCs w:val="16"/>
                <w:lang w:eastAsia="sk-SK"/>
              </w:rPr>
              <w:t>1 716 901</w:t>
            </w:r>
          </w:p>
        </w:tc>
      </w:tr>
      <w:tr w:rsidR="00A24578" w:rsidRPr="00A24578" w14:paraId="42763E31" w14:textId="77777777" w:rsidTr="00A24578">
        <w:trPr>
          <w:trHeight w:val="680"/>
        </w:trPr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3393" w14:textId="77777777" w:rsidR="00A24578" w:rsidRPr="00A24578" w:rsidRDefault="00A24578" w:rsidP="00A2457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17CC7" w14:textId="77777777" w:rsidR="00A24578" w:rsidRPr="00A24578" w:rsidRDefault="00A24578" w:rsidP="00A2457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80C3" w14:textId="77777777" w:rsidR="00A24578" w:rsidRPr="00A24578" w:rsidRDefault="00A24578" w:rsidP="00A245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8199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A35F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56B7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9734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6EF2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1794" w14:textId="77777777" w:rsidR="00A24578" w:rsidRPr="00A24578" w:rsidRDefault="00A24578" w:rsidP="00A2457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45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</w:tr>
    </w:tbl>
    <w:p w14:paraId="5A3844DF" w14:textId="4DEB2A82" w:rsidR="0006532F" w:rsidRDefault="00793633" w:rsidP="005C003B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T</w:t>
      </w:r>
      <w:r w:rsidR="0006532F" w:rsidRPr="00C775E7">
        <w:rPr>
          <w:rFonts w:cstheme="minorHAnsi"/>
        </w:rPr>
        <w:t>ab</w:t>
      </w:r>
      <w:r w:rsidR="00A24578">
        <w:rPr>
          <w:rFonts w:cstheme="minorHAnsi"/>
        </w:rPr>
        <w:t>uľka presunov tvorí Prílohu č. 3</w:t>
      </w:r>
      <w:r w:rsidR="0006532F" w:rsidRPr="00C775E7">
        <w:rPr>
          <w:rFonts w:cstheme="minorHAnsi"/>
        </w:rPr>
        <w:t xml:space="preserve"> tohto materiálu.</w:t>
      </w:r>
    </w:p>
    <w:p w14:paraId="75AC1920" w14:textId="77777777" w:rsidR="005C003B" w:rsidRPr="00C775E7" w:rsidRDefault="005C003B" w:rsidP="005C003B">
      <w:pPr>
        <w:spacing w:before="120" w:after="0" w:line="240" w:lineRule="auto"/>
        <w:jc w:val="both"/>
        <w:rPr>
          <w:rFonts w:cstheme="minorHAnsi"/>
        </w:rPr>
      </w:pPr>
    </w:p>
    <w:p w14:paraId="7D57F0F4" w14:textId="1C772F98" w:rsidR="00DA7F27" w:rsidRDefault="00DA7F27" w:rsidP="001A0359">
      <w:pPr>
        <w:pStyle w:val="Nadpis2"/>
      </w:pPr>
      <w:r w:rsidRPr="000B2AE8">
        <w:t>Návrh na presuny alokácií v gescii MPSVR SR</w:t>
      </w:r>
    </w:p>
    <w:p w14:paraId="23699C75" w14:textId="77777777" w:rsidR="003028C9" w:rsidRPr="003028C9" w:rsidRDefault="003028C9" w:rsidP="003028C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3482"/>
        <w:gridCol w:w="1434"/>
        <w:gridCol w:w="415"/>
        <w:gridCol w:w="780"/>
        <w:gridCol w:w="780"/>
        <w:gridCol w:w="862"/>
        <w:gridCol w:w="829"/>
        <w:gridCol w:w="911"/>
      </w:tblGrid>
      <w:tr w:rsidR="001A0359" w:rsidRPr="001A0359" w14:paraId="0B4640E4" w14:textId="77777777" w:rsidTr="001A0359">
        <w:trPr>
          <w:trHeight w:val="410"/>
        </w:trPr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C75787F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kód špecifického cieľa</w:t>
            </w:r>
          </w:p>
        </w:tc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19CA3DC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názov špecifického cieľa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147155A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 (RP)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F0ADCCA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zvýšenie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2EC4E29D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zníženie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2366179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presuny</w:t>
            </w:r>
          </w:p>
        </w:tc>
      </w:tr>
      <w:tr w:rsidR="001A0359" w:rsidRPr="001A0359" w14:paraId="33BFB632" w14:textId="77777777" w:rsidTr="001A0359">
        <w:trPr>
          <w:trHeight w:val="290"/>
        </w:trPr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2DD1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6D3C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F418D7C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 -UMR (KR UMR)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0DD9D1A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0E093C2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29164D9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2ED6C94D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0F55B1B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FB4BCE6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</w:tr>
      <w:tr w:rsidR="001A0359" w:rsidRPr="001A0359" w14:paraId="3D5B022F" w14:textId="77777777" w:rsidTr="001A0359">
        <w:trPr>
          <w:trHeight w:val="580"/>
        </w:trPr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CBD7E05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RSO4.1</w:t>
            </w:r>
          </w:p>
        </w:tc>
        <w:tc>
          <w:tcPr>
            <w:tcW w:w="17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986832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Zvyšovanie účinnosti a inkluzívnosti trhov práce a prístupu ku kvalitnému zamestnaniu rozvíjaním sociálnej infraštruktúry a podporou sociálneho hospodárstva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E232F6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C9D750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561100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D6E6EC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1 200 000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65AEDF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2 934 135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5F27142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-1 200 000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0EFDF6B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-2 934 135</w:t>
            </w:r>
          </w:p>
        </w:tc>
      </w:tr>
      <w:tr w:rsidR="001A0359" w:rsidRPr="001A0359" w14:paraId="211B2F4C" w14:textId="77777777" w:rsidTr="001A0359">
        <w:trPr>
          <w:trHeight w:val="580"/>
        </w:trPr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97B8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7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5518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F95F19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C212B4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546E50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18D49E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A19E45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4193FD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D6F900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</w:tr>
      <w:tr w:rsidR="001A0359" w:rsidRPr="001A0359" w14:paraId="64F64623" w14:textId="77777777" w:rsidTr="001A0359">
        <w:trPr>
          <w:trHeight w:val="580"/>
        </w:trPr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AF2363A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RSO4.3</w:t>
            </w:r>
          </w:p>
        </w:tc>
        <w:tc>
          <w:tcPr>
            <w:tcW w:w="17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0AB7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sociálno-ekonomického začlenenia marginalizovaných komunít, domácností s nízkym príjmom a znevýhodnených skupín vrátane osôb s osobitnými potrebami prostredníctvom integrovaných akcií vrátane bývania a sociálnych služieb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D86F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FEE1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CE96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29F4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7133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10 748 602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793C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78DC61F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-10 748 602</w:t>
            </w:r>
          </w:p>
        </w:tc>
      </w:tr>
      <w:tr w:rsidR="001A0359" w:rsidRPr="001A0359" w14:paraId="6FB53D95" w14:textId="77777777" w:rsidTr="001A0359">
        <w:trPr>
          <w:trHeight w:val="580"/>
        </w:trPr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935E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7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5124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C3AB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5F0C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26B9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7F78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E699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8 115 418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6AC6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0A61D0D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-8 115 418</w:t>
            </w:r>
          </w:p>
        </w:tc>
      </w:tr>
      <w:tr w:rsidR="001A0359" w:rsidRPr="001A0359" w14:paraId="3C459C88" w14:textId="77777777" w:rsidTr="001A0359">
        <w:trPr>
          <w:trHeight w:val="580"/>
        </w:trPr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708705F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RSO4.5</w:t>
            </w:r>
          </w:p>
        </w:tc>
        <w:tc>
          <w:tcPr>
            <w:tcW w:w="17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CBAE13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Zabezpečenia rovného prístupu k zdravotnej starostlivosti a zvýšením odolnosti systémov zdravotnej starostlivosti vrátane primárnej starostlivosti, a podpory prechodu z inštitucionálnej starostlivosti na rodinnú a komunitnú starostlivosť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E1E645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4BB6F6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B6E9AA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2 106 634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2EE09E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6C00A4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966 395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6154FD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11065DB5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1 140 239</w:t>
            </w:r>
          </w:p>
        </w:tc>
      </w:tr>
      <w:tr w:rsidR="001A0359" w:rsidRPr="001A0359" w14:paraId="7DB8070A" w14:textId="77777777" w:rsidTr="001A0359">
        <w:trPr>
          <w:trHeight w:val="580"/>
        </w:trPr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D496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7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6DC2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69A18F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IÚI-UMR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67F558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3BF754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8C1A7F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E150D3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1 544 905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E6B4EC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CB7AEC2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-1 544 905</w:t>
            </w:r>
          </w:p>
        </w:tc>
      </w:tr>
    </w:tbl>
    <w:p w14:paraId="3CBE2B31" w14:textId="77777777" w:rsidR="001A0359" w:rsidRDefault="001A0359" w:rsidP="00DA7F27">
      <w:pPr>
        <w:spacing w:before="120" w:after="0" w:line="240" w:lineRule="auto"/>
        <w:ind w:left="2126" w:hanging="2126"/>
        <w:jc w:val="both"/>
        <w:rPr>
          <w:rFonts w:cstheme="minorHAnsi"/>
        </w:rPr>
      </w:pPr>
    </w:p>
    <w:p w14:paraId="000D02E9" w14:textId="333C0CD1" w:rsidR="00DA7F27" w:rsidRPr="00C775E7" w:rsidRDefault="00793633" w:rsidP="00DA7F27">
      <w:pPr>
        <w:spacing w:before="120" w:after="0" w:line="240" w:lineRule="auto"/>
        <w:ind w:left="2126" w:hanging="2126"/>
        <w:jc w:val="both"/>
        <w:rPr>
          <w:rFonts w:cstheme="minorHAnsi"/>
        </w:rPr>
      </w:pPr>
      <w:r>
        <w:rPr>
          <w:rFonts w:cstheme="minorHAnsi"/>
        </w:rPr>
        <w:t>T</w:t>
      </w:r>
      <w:r w:rsidR="00DA7F27" w:rsidRPr="00C775E7">
        <w:rPr>
          <w:rFonts w:cstheme="minorHAnsi"/>
        </w:rPr>
        <w:t xml:space="preserve">abuľka presunov tvorí Prílohu č. </w:t>
      </w:r>
      <w:r w:rsidR="001A0359">
        <w:rPr>
          <w:rFonts w:cstheme="minorHAnsi"/>
        </w:rPr>
        <w:t>4</w:t>
      </w:r>
      <w:r w:rsidR="00DA7F27" w:rsidRPr="00C775E7">
        <w:rPr>
          <w:rFonts w:cstheme="minorHAnsi"/>
        </w:rPr>
        <w:t xml:space="preserve"> tohto materiálu.</w:t>
      </w:r>
    </w:p>
    <w:p w14:paraId="375858EE" w14:textId="77777777" w:rsidR="001A0359" w:rsidRDefault="001A0359" w:rsidP="00BE6C37">
      <w:pPr>
        <w:spacing w:after="120" w:line="240" w:lineRule="auto"/>
        <w:jc w:val="both"/>
        <w:rPr>
          <w:rFonts w:cstheme="minorHAnsi"/>
        </w:rPr>
      </w:pPr>
    </w:p>
    <w:p w14:paraId="77267002" w14:textId="49BCAA62" w:rsidR="001A0359" w:rsidRDefault="001A0359" w:rsidP="001A0359">
      <w:pPr>
        <w:pStyle w:val="Nadpis2"/>
      </w:pPr>
      <w:r>
        <w:t>Návrhy na presuny alokácií v gescii MD SR</w:t>
      </w:r>
    </w:p>
    <w:p w14:paraId="65E14598" w14:textId="77777777" w:rsidR="003028C9" w:rsidRPr="003028C9" w:rsidRDefault="003028C9" w:rsidP="003028C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5"/>
        <w:gridCol w:w="2514"/>
        <w:gridCol w:w="1424"/>
        <w:gridCol w:w="611"/>
        <w:gridCol w:w="1232"/>
        <w:gridCol w:w="579"/>
        <w:gridCol w:w="1313"/>
        <w:gridCol w:w="579"/>
        <w:gridCol w:w="1399"/>
      </w:tblGrid>
      <w:tr w:rsidR="001A0359" w:rsidRPr="001A0359" w14:paraId="6C8EDC3D" w14:textId="77777777" w:rsidTr="001A0359">
        <w:trPr>
          <w:trHeight w:val="290"/>
        </w:trPr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8A91AF3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kód opatrenia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7BC2DC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názov opatrenia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8EF18A9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 (RP)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791E1B7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zvýšenie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28CE68C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zníženie</w:t>
            </w:r>
          </w:p>
        </w:tc>
        <w:tc>
          <w:tcPr>
            <w:tcW w:w="9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02756420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presuny</w:t>
            </w:r>
          </w:p>
        </w:tc>
      </w:tr>
      <w:tr w:rsidR="001A0359" w:rsidRPr="001A0359" w14:paraId="614952ED" w14:textId="77777777" w:rsidTr="001A0359">
        <w:trPr>
          <w:trHeight w:val="290"/>
        </w:trPr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0E58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70C08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253C03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IÚI-UMR (KR UMR)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D7C2643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ED4DD1D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7337647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C4D6C57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1422AAE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26C56C4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sk-SK"/>
              </w:rPr>
              <w:t>MRR</w:t>
            </w:r>
          </w:p>
        </w:tc>
      </w:tr>
      <w:tr w:rsidR="001A0359" w:rsidRPr="001A0359" w14:paraId="3CA1DA56" w14:textId="77777777" w:rsidTr="001A0359">
        <w:trPr>
          <w:trHeight w:val="290"/>
        </w:trPr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FF3101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2.8.1</w:t>
            </w:r>
          </w:p>
        </w:tc>
        <w:tc>
          <w:tcPr>
            <w:tcW w:w="120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C436" w14:textId="77777777" w:rsidR="001A0359" w:rsidRPr="001A0359" w:rsidRDefault="001A0359" w:rsidP="001A03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Rozvoj verejnej dopravy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2516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6BD3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4549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257 549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CDDF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C15F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10 200 000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3FC9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28DFFFA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9C0006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9C0006"/>
                <w:sz w:val="16"/>
                <w:szCs w:val="16"/>
                <w:lang w:eastAsia="sk-SK"/>
              </w:rPr>
              <w:t>-9 942 451</w:t>
            </w:r>
          </w:p>
        </w:tc>
      </w:tr>
      <w:tr w:rsidR="001A0359" w:rsidRPr="001A0359" w14:paraId="73170E77" w14:textId="77777777" w:rsidTr="001A0359">
        <w:trPr>
          <w:trHeight w:val="290"/>
        </w:trPr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D7C8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2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FD286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215D" w14:textId="77777777" w:rsidR="001A0359" w:rsidRPr="001A0359" w:rsidRDefault="001A0359" w:rsidP="001A035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DFF4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59B2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3 135 140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FB7F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1E50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26 706 546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C18C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512F392" w14:textId="77777777" w:rsidR="001A0359" w:rsidRPr="001A0359" w:rsidRDefault="001A0359" w:rsidP="001A03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9C0006"/>
                <w:sz w:val="16"/>
                <w:szCs w:val="16"/>
                <w:lang w:eastAsia="sk-SK"/>
              </w:rPr>
            </w:pPr>
            <w:r w:rsidRPr="001A0359">
              <w:rPr>
                <w:rFonts w:eastAsia="Times New Roman" w:cstheme="minorHAnsi"/>
                <w:b/>
                <w:bCs/>
                <w:color w:val="9C0006"/>
                <w:sz w:val="16"/>
                <w:szCs w:val="16"/>
                <w:lang w:eastAsia="sk-SK"/>
              </w:rPr>
              <w:t>-23 571 406</w:t>
            </w:r>
          </w:p>
        </w:tc>
      </w:tr>
    </w:tbl>
    <w:p w14:paraId="401C2743" w14:textId="77777777" w:rsidR="001A0359" w:rsidRPr="001A0359" w:rsidRDefault="001A0359" w:rsidP="001A0359"/>
    <w:p w14:paraId="146DB18A" w14:textId="07A0D3D9" w:rsidR="003028C9" w:rsidRDefault="00793633" w:rsidP="00BE6C37">
      <w:pPr>
        <w:spacing w:before="120" w:after="120" w:line="240" w:lineRule="auto"/>
        <w:jc w:val="both"/>
        <w:rPr>
          <w:rFonts w:cstheme="minorHAnsi"/>
          <w:bCs/>
        </w:rPr>
      </w:pPr>
      <w:r>
        <w:rPr>
          <w:rFonts w:cstheme="minorHAnsi"/>
        </w:rPr>
        <w:t>T</w:t>
      </w:r>
      <w:r w:rsidRPr="00C775E7">
        <w:rPr>
          <w:rFonts w:cstheme="minorHAnsi"/>
        </w:rPr>
        <w:t>abuľka presunov tvorí</w:t>
      </w:r>
      <w:r w:rsidRPr="00194F71">
        <w:rPr>
          <w:rFonts w:cstheme="minorHAnsi"/>
          <w:bCs/>
        </w:rPr>
        <w:t xml:space="preserve"> </w:t>
      </w:r>
      <w:r>
        <w:rPr>
          <w:rFonts w:cstheme="minorHAnsi"/>
          <w:bCs/>
        </w:rPr>
        <w:t>P</w:t>
      </w:r>
      <w:r w:rsidR="00E53C98" w:rsidRPr="00194F71">
        <w:rPr>
          <w:rFonts w:cstheme="minorHAnsi"/>
          <w:bCs/>
        </w:rPr>
        <w:t xml:space="preserve">rílohu </w:t>
      </w:r>
      <w:r w:rsidR="001A0359">
        <w:rPr>
          <w:rFonts w:cstheme="minorHAnsi"/>
          <w:bCs/>
        </w:rPr>
        <w:t>č. 5</w:t>
      </w:r>
      <w:r w:rsidR="00E53C98" w:rsidRPr="00194F71">
        <w:rPr>
          <w:rFonts w:cstheme="minorHAnsi"/>
          <w:bCs/>
        </w:rPr>
        <w:t xml:space="preserve"> tohto materiálu.</w:t>
      </w:r>
    </w:p>
    <w:p w14:paraId="3FEBE501" w14:textId="77777777" w:rsidR="003028C9" w:rsidRDefault="003028C9" w:rsidP="00BE6C37">
      <w:pPr>
        <w:spacing w:before="120" w:after="120" w:line="240" w:lineRule="auto"/>
        <w:jc w:val="both"/>
        <w:rPr>
          <w:rFonts w:cstheme="minorHAnsi"/>
          <w:bCs/>
        </w:rPr>
      </w:pPr>
    </w:p>
    <w:p w14:paraId="1641DC59" w14:textId="63E7D0EB" w:rsidR="008850F1" w:rsidRDefault="001A0359" w:rsidP="008850F1">
      <w:pPr>
        <w:pStyle w:val="Nadpis2"/>
      </w:pPr>
      <w:r>
        <w:t>Návrhy na presuny alokácií v gescii MŽP SR</w:t>
      </w:r>
    </w:p>
    <w:p w14:paraId="4F46A568" w14:textId="77777777" w:rsidR="003028C9" w:rsidRPr="003028C9" w:rsidRDefault="003028C9" w:rsidP="003028C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3693"/>
        <w:gridCol w:w="1398"/>
        <w:gridCol w:w="415"/>
        <w:gridCol w:w="780"/>
        <w:gridCol w:w="780"/>
        <w:gridCol w:w="862"/>
        <w:gridCol w:w="829"/>
        <w:gridCol w:w="911"/>
      </w:tblGrid>
      <w:tr w:rsidR="003028C9" w:rsidRPr="003028C9" w14:paraId="3527ADDE" w14:textId="77777777" w:rsidTr="003028C9">
        <w:trPr>
          <w:trHeight w:val="52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464AC68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kód opatrenia</w:t>
            </w:r>
          </w:p>
        </w:tc>
        <w:tc>
          <w:tcPr>
            <w:tcW w:w="1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536C974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názov opatrenia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1DB3F68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 (RP)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1C5193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zvýšenie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072313F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zníženie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7D8043E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presuny</w:t>
            </w:r>
          </w:p>
        </w:tc>
      </w:tr>
      <w:tr w:rsidR="003028C9" w:rsidRPr="003028C9" w14:paraId="671631D9" w14:textId="77777777" w:rsidTr="003028C9">
        <w:trPr>
          <w:trHeight w:val="340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5F47D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14D41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BD9B64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IÚI-UMR (KR UMR)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AFF3101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B07DFDD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823D55C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1BD0D7B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6CBAE01A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VRR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8343D08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  <w:t>MRR</w:t>
            </w:r>
          </w:p>
        </w:tc>
      </w:tr>
      <w:tr w:rsidR="003028C9" w:rsidRPr="003028C9" w14:paraId="3909DF0F" w14:textId="77777777" w:rsidTr="003028C9">
        <w:trPr>
          <w:trHeight w:val="340"/>
        </w:trPr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98338C8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2.4.1</w:t>
            </w:r>
          </w:p>
        </w:tc>
        <w:tc>
          <w:tcPr>
            <w:tcW w:w="1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264087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Vodozádržné opatrenia na adaptáciu na zmenu klímy v sídlach a krajine a /alebo ochranu pred povodňami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8635C9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CA4971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7063B1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AD6FDD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0A96725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E6EBED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F5DC1A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</w:tr>
      <w:tr w:rsidR="003028C9" w:rsidRPr="003028C9" w14:paraId="68D9AEF8" w14:textId="77777777" w:rsidTr="003028C9">
        <w:trPr>
          <w:trHeight w:val="340"/>
        </w:trPr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27FA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8062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E2EBEB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8178AD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FF6AAD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121 757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AC42EC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900391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22 461 590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E5B57B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470076C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-22 339 833</w:t>
            </w:r>
          </w:p>
        </w:tc>
      </w:tr>
      <w:tr w:rsidR="003028C9" w:rsidRPr="003028C9" w14:paraId="41019329" w14:textId="77777777" w:rsidTr="003028C9">
        <w:trPr>
          <w:trHeight w:val="550"/>
        </w:trPr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21A6026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2.5.2</w:t>
            </w:r>
          </w:p>
        </w:tc>
        <w:tc>
          <w:tcPr>
            <w:tcW w:w="1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558A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Podpora infraštruktúry v oblasti nakladania s komunálnymi odpadovými vodami v aglomeráciach do 2 000 EO so zameraním najmä na územia prioritné z environmentálneho hľadiska mimo dobiehajúcich regiónov 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70C4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F3AE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4A61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178 354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41DC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477F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C447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58D6BC45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178 354</w:t>
            </w:r>
          </w:p>
        </w:tc>
      </w:tr>
      <w:tr w:rsidR="003028C9" w:rsidRPr="003028C9" w14:paraId="130DE08E" w14:textId="77777777" w:rsidTr="003028C9">
        <w:trPr>
          <w:trHeight w:val="340"/>
        </w:trPr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5B8A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C08F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F880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3C70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6AEE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08EC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251E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D280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7A34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</w:tr>
      <w:tr w:rsidR="003028C9" w:rsidRPr="003028C9" w14:paraId="0FA057B4" w14:textId="77777777" w:rsidTr="003028C9">
        <w:trPr>
          <w:trHeight w:val="340"/>
        </w:trPr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66C5BE4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2.5.7</w:t>
            </w:r>
          </w:p>
        </w:tc>
        <w:tc>
          <w:tcPr>
            <w:tcW w:w="19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0DE510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Obnova verejnej stokovej siete a čistiarní odpadových vôd v aglomeráciách nad 2 000 EO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19693B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E6F524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5757E5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D3C2A9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DF9866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5 000 000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E65413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03440A2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-5 000 000</w:t>
            </w:r>
          </w:p>
        </w:tc>
      </w:tr>
      <w:tr w:rsidR="003028C9" w:rsidRPr="003028C9" w14:paraId="11393DB3" w14:textId="77777777" w:rsidTr="003028C9">
        <w:trPr>
          <w:trHeight w:val="340"/>
        </w:trPr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477F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081F7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F6CEB9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6581EC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361818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473700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15AC28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1 618 924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7A3401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F29CA0D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-1 618 924</w:t>
            </w:r>
          </w:p>
        </w:tc>
      </w:tr>
      <w:tr w:rsidR="003028C9" w:rsidRPr="003028C9" w14:paraId="38512F03" w14:textId="77777777" w:rsidTr="003028C9">
        <w:trPr>
          <w:trHeight w:val="340"/>
        </w:trPr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C00C1DC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2.6.1</w:t>
            </w:r>
          </w:p>
        </w:tc>
        <w:tc>
          <w:tcPr>
            <w:tcW w:w="198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F9DA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vybraných aktivít v oblasti predchádzania vzniku odpadov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ED60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32CD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9B6C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3382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E1AF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257 549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E026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4EE918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-257 549</w:t>
            </w:r>
          </w:p>
        </w:tc>
      </w:tr>
      <w:tr w:rsidR="003028C9" w:rsidRPr="003028C9" w14:paraId="19963BBA" w14:textId="77777777" w:rsidTr="003028C9">
        <w:trPr>
          <w:trHeight w:val="340"/>
        </w:trPr>
        <w:tc>
          <w:tcPr>
            <w:tcW w:w="3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855225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D16EE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78DB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65F0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961B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75A2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153 985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89EF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741 807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E7D9DF7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-153 985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4220E95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-741 807</w:t>
            </w:r>
          </w:p>
        </w:tc>
      </w:tr>
      <w:tr w:rsidR="003028C9" w:rsidRPr="003028C9" w14:paraId="115F97CA" w14:textId="77777777" w:rsidTr="003028C9">
        <w:trPr>
          <w:trHeight w:val="34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37E20FE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2.6.2</w:t>
            </w:r>
          </w:p>
        </w:tc>
        <w:tc>
          <w:tcPr>
            <w:tcW w:w="1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C482A0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zberu a dobudovania, intenzifikácie a rozšírenia systémov triedeného zberu komunálnych odpadov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D3D923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3E0993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0241F6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3 500 000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A97A58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2 407 909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C7651A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37E55D7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-2 407 909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20AFBFD8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6100"/>
                <w:sz w:val="16"/>
                <w:szCs w:val="16"/>
                <w:lang w:eastAsia="sk-SK"/>
              </w:rPr>
              <w:t>3 500 000</w:t>
            </w:r>
          </w:p>
        </w:tc>
      </w:tr>
      <w:tr w:rsidR="003028C9" w:rsidRPr="003028C9" w14:paraId="4159445B" w14:textId="77777777" w:rsidTr="003028C9">
        <w:trPr>
          <w:trHeight w:val="340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DD74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600A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7B429C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B758DB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D87889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415 857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951BB4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4 258 414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548CA6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6 002 870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CA4A85B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-4 258 414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DB5BAF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-5 587 013</w:t>
            </w:r>
          </w:p>
        </w:tc>
      </w:tr>
      <w:tr w:rsidR="003028C9" w:rsidRPr="003028C9" w14:paraId="58A98618" w14:textId="77777777" w:rsidTr="003028C9">
        <w:trPr>
          <w:trHeight w:val="340"/>
        </w:trPr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8A03399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2.6.3</w:t>
            </w:r>
          </w:p>
        </w:tc>
        <w:tc>
          <w:tcPr>
            <w:tcW w:w="198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3492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prípravy odpadov na opätovné použitie, recyklácie odpadov vrátane anaeróbneho a aeróbneho spracovania biologicky rozložiteľných odpadov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A385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2765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0DC1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8A92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3 547 297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B445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3 500 000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55F7B82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-3 547 297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B11E5CB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-3 500 000</w:t>
            </w:r>
          </w:p>
        </w:tc>
      </w:tr>
      <w:tr w:rsidR="003028C9" w:rsidRPr="003028C9" w14:paraId="6B50085F" w14:textId="77777777" w:rsidTr="003028C9">
        <w:trPr>
          <w:trHeight w:val="340"/>
        </w:trPr>
        <w:tc>
          <w:tcPr>
            <w:tcW w:w="3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8A2F64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490604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9680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9E8B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FF82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DCDE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749 859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04CA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5 190 056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3F0B8E9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-749 859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4F2A27B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-5 190 056</w:t>
            </w:r>
          </w:p>
        </w:tc>
      </w:tr>
      <w:tr w:rsidR="003028C9" w:rsidRPr="003028C9" w14:paraId="2D42E160" w14:textId="77777777" w:rsidTr="003028C9">
        <w:trPr>
          <w:trHeight w:val="34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85E0D7C" w14:textId="77777777" w:rsidR="003028C9" w:rsidRPr="003028C9" w:rsidRDefault="003028C9" w:rsidP="00302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  <w:t>2.7.3</w:t>
            </w:r>
          </w:p>
        </w:tc>
        <w:tc>
          <w:tcPr>
            <w:tcW w:w="1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383A51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Podpora biologickej a krajinnej diverzity a kvality ekosystémových služieb prostredníctvom udržovania a budovania zelenej a modrej infraštruktúry a prevencie a manažmentu inváznych nepôvodných druhov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222166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681615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23D6CE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F47900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D2B883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1 110 625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FD4651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27F6B44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-1 110 625</w:t>
            </w:r>
          </w:p>
        </w:tc>
      </w:tr>
      <w:tr w:rsidR="003028C9" w:rsidRPr="003028C9" w14:paraId="476F202E" w14:textId="77777777" w:rsidTr="003028C9">
        <w:trPr>
          <w:trHeight w:val="500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F943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73EE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033D37" w14:textId="77777777" w:rsidR="003028C9" w:rsidRPr="003028C9" w:rsidRDefault="003028C9" w:rsidP="003028C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IÚI - UMR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5032F6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BFC1E4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7DF5FC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529A31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sz w:val="16"/>
                <w:szCs w:val="16"/>
                <w:lang w:eastAsia="sk-SK"/>
              </w:rPr>
              <w:t>5 607 435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F214E2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217D5BA" w14:textId="77777777" w:rsidR="003028C9" w:rsidRPr="003028C9" w:rsidRDefault="003028C9" w:rsidP="003028C9">
            <w:pPr>
              <w:spacing w:after="0" w:line="240" w:lineRule="auto"/>
              <w:jc w:val="right"/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</w:pPr>
            <w:r w:rsidRPr="003028C9">
              <w:rPr>
                <w:rFonts w:eastAsia="Times New Roman" w:cstheme="minorHAnsi"/>
                <w:color w:val="9C0006"/>
                <w:sz w:val="16"/>
                <w:szCs w:val="16"/>
                <w:lang w:eastAsia="sk-SK"/>
              </w:rPr>
              <w:t>-5 607 435</w:t>
            </w:r>
          </w:p>
        </w:tc>
      </w:tr>
    </w:tbl>
    <w:p w14:paraId="0914B9EE" w14:textId="19AA52BE" w:rsidR="001A0359" w:rsidRDefault="001A0359" w:rsidP="001A0359"/>
    <w:p w14:paraId="1151968B" w14:textId="3197997D" w:rsidR="001A0359" w:rsidRDefault="00793633" w:rsidP="001A0359">
      <w:pPr>
        <w:spacing w:before="120" w:after="120" w:line="240" w:lineRule="auto"/>
        <w:jc w:val="both"/>
        <w:rPr>
          <w:rFonts w:cstheme="minorHAnsi"/>
          <w:bCs/>
        </w:rPr>
      </w:pPr>
      <w:r>
        <w:rPr>
          <w:rFonts w:cstheme="minorHAnsi"/>
        </w:rPr>
        <w:t>T</w:t>
      </w:r>
      <w:r w:rsidRPr="00C775E7">
        <w:rPr>
          <w:rFonts w:cstheme="minorHAnsi"/>
        </w:rPr>
        <w:t>abuľka presunov tvorí</w:t>
      </w:r>
      <w:r w:rsidRPr="00194F71">
        <w:rPr>
          <w:rFonts w:cstheme="minorHAnsi"/>
          <w:bCs/>
        </w:rPr>
        <w:t xml:space="preserve"> </w:t>
      </w:r>
      <w:r>
        <w:rPr>
          <w:rFonts w:cstheme="minorHAnsi"/>
          <w:bCs/>
        </w:rPr>
        <w:t>P</w:t>
      </w:r>
      <w:r w:rsidR="001A0359" w:rsidRPr="00194F71">
        <w:rPr>
          <w:rFonts w:cstheme="minorHAnsi"/>
          <w:bCs/>
        </w:rPr>
        <w:t xml:space="preserve">rílohu </w:t>
      </w:r>
      <w:r w:rsidR="001A0359">
        <w:rPr>
          <w:rFonts w:cstheme="minorHAnsi"/>
          <w:bCs/>
        </w:rPr>
        <w:t>č. 6</w:t>
      </w:r>
      <w:r w:rsidR="001A0359" w:rsidRPr="00194F71">
        <w:rPr>
          <w:rFonts w:cstheme="minorHAnsi"/>
          <w:bCs/>
        </w:rPr>
        <w:t xml:space="preserve"> tohto materiálu.</w:t>
      </w:r>
    </w:p>
    <w:p w14:paraId="273C99B6" w14:textId="77147EBD" w:rsidR="001A0359" w:rsidRDefault="001A0359" w:rsidP="00BE6C37">
      <w:pPr>
        <w:spacing w:before="120" w:after="120" w:line="240" w:lineRule="auto"/>
        <w:jc w:val="both"/>
      </w:pPr>
    </w:p>
    <w:p w14:paraId="43C50FBA" w14:textId="06A27BD6" w:rsidR="00F945C3" w:rsidRDefault="00F945C3" w:rsidP="00BE6C37">
      <w:pPr>
        <w:spacing w:before="120" w:after="120" w:line="240" w:lineRule="auto"/>
        <w:jc w:val="both"/>
      </w:pPr>
      <w:r>
        <w:t>Zoznam jednotlivých presunov po opatreniach a územiach tvorí prílohu č. 7 tohto materiálu.</w:t>
      </w:r>
    </w:p>
    <w:p w14:paraId="42937160" w14:textId="77777777" w:rsidR="005C003B" w:rsidRDefault="005C003B" w:rsidP="005C003B">
      <w:pPr>
        <w:pStyle w:val="Nadpis1"/>
        <w:numPr>
          <w:ilvl w:val="0"/>
          <w:numId w:val="0"/>
        </w:numPr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1A545A44" w14:textId="13D3E20B" w:rsidR="002053C2" w:rsidRPr="00BE6C37" w:rsidRDefault="0000238B" w:rsidP="005C003B">
      <w:pPr>
        <w:pStyle w:val="Nadpis1"/>
        <w:numPr>
          <w:ilvl w:val="0"/>
          <w:numId w:val="0"/>
        </w:numPr>
      </w:pPr>
      <w:r w:rsidRPr="00BE6C37">
        <w:t>Odôvodnenie</w:t>
      </w:r>
      <w:r w:rsidR="000D6310" w:rsidRPr="00BE6C37">
        <w:t xml:space="preserve"> a ďalšie informácie</w:t>
      </w:r>
      <w:r w:rsidRPr="00BE6C37">
        <w:t xml:space="preserve">: </w:t>
      </w:r>
    </w:p>
    <w:p w14:paraId="0E234E95" w14:textId="77777777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>Pri nastavovaní Programu Slovensko bola určená alokácia pre integrovaný územný rozvoj vo výške 2 127 703 635 EUR, čo predstavovalo 16,9 % podiel na celkovej alokácii programu.</w:t>
      </w:r>
    </w:p>
    <w:p w14:paraId="0480F702" w14:textId="04A3503C" w:rsidR="007403D8" w:rsidRPr="00C775E7" w:rsidRDefault="007403D8" w:rsidP="00BE6C37">
      <w:pPr>
        <w:spacing w:after="120" w:line="240" w:lineRule="auto"/>
        <w:jc w:val="both"/>
        <w:rPr>
          <w:rFonts w:cstheme="minorHAnsi"/>
          <w:b/>
        </w:rPr>
      </w:pPr>
      <w:r w:rsidRPr="00C775E7">
        <w:rPr>
          <w:rFonts w:cstheme="minorHAnsi"/>
        </w:rPr>
        <w:t>Po navýšeniach alokácií</w:t>
      </w:r>
      <w:r w:rsidR="00F175E0">
        <w:rPr>
          <w:rFonts w:cstheme="minorHAnsi"/>
        </w:rPr>
        <w:t xml:space="preserve"> realizovaných v pri</w:t>
      </w:r>
      <w:r w:rsidR="000646E6">
        <w:rPr>
          <w:rFonts w:cstheme="minorHAnsi"/>
        </w:rPr>
        <w:t>e</w:t>
      </w:r>
      <w:r w:rsidR="00F175E0">
        <w:rPr>
          <w:rFonts w:cstheme="minorHAnsi"/>
        </w:rPr>
        <w:t>behu rokov 2023 a 2024</w:t>
      </w:r>
      <w:r w:rsidRPr="00C775E7">
        <w:rPr>
          <w:rFonts w:cstheme="minorHAnsi"/>
        </w:rPr>
        <w:t xml:space="preserve">, o ktorých rozhoduje územie, je </w:t>
      </w:r>
      <w:r w:rsidRPr="00C775E7">
        <w:rPr>
          <w:rFonts w:cstheme="minorHAnsi"/>
          <w:b/>
        </w:rPr>
        <w:t xml:space="preserve">aktuálna výška zdrojov vyčlenená pre </w:t>
      </w:r>
      <w:r w:rsidRPr="00F327DF">
        <w:rPr>
          <w:rFonts w:cstheme="minorHAnsi"/>
          <w:b/>
        </w:rPr>
        <w:t xml:space="preserve">IÚI </w:t>
      </w:r>
      <w:r w:rsidR="001D1FCF" w:rsidRPr="00F327DF">
        <w:rPr>
          <w:rFonts w:cstheme="minorHAnsi"/>
          <w:b/>
        </w:rPr>
        <w:t xml:space="preserve">2 411 096 481 </w:t>
      </w:r>
      <w:r w:rsidRPr="00F327DF">
        <w:rPr>
          <w:rFonts w:cstheme="minorHAnsi"/>
          <w:b/>
        </w:rPr>
        <w:t>EUR, čo tvorí 19,2 % Programu Slovensko.</w:t>
      </w:r>
    </w:p>
    <w:p w14:paraId="67B4F12E" w14:textId="77777777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Finálne rozdelenie alokácií bolo územným partnerov oznámené v máji roka 2023. </w:t>
      </w:r>
    </w:p>
    <w:p w14:paraId="31ED6CFB" w14:textId="0BAE254A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Územná alokácia </w:t>
      </w:r>
      <w:r w:rsidR="00F175E0">
        <w:rPr>
          <w:rFonts w:cstheme="minorHAnsi"/>
        </w:rPr>
        <w:t>IÚI a IÚI-UMR</w:t>
      </w:r>
      <w:r w:rsidRPr="00C775E7">
        <w:rPr>
          <w:rFonts w:cstheme="minorHAnsi"/>
        </w:rPr>
        <w:t xml:space="preserve"> bola do jednotlivých opatrení / špecifických cieľov (pre CP 4) rozdelená </w:t>
      </w:r>
      <w:r w:rsidR="00867006">
        <w:rPr>
          <w:rFonts w:cstheme="minorHAnsi"/>
        </w:rPr>
        <w:t xml:space="preserve">pri procese tvorby programu, pričom tento stav </w:t>
      </w:r>
      <w:r w:rsidRPr="00C775E7">
        <w:rPr>
          <w:rFonts w:cstheme="minorHAnsi"/>
        </w:rPr>
        <w:t xml:space="preserve">nereflektoval </w:t>
      </w:r>
      <w:r w:rsidR="00867006">
        <w:rPr>
          <w:rFonts w:cstheme="minorHAnsi"/>
        </w:rPr>
        <w:t xml:space="preserve">v plnej miere </w:t>
      </w:r>
      <w:r w:rsidRPr="00C775E7">
        <w:rPr>
          <w:rFonts w:cstheme="minorHAnsi"/>
        </w:rPr>
        <w:t>na potreby definované územím v</w:t>
      </w:r>
      <w:r w:rsidR="00867006">
        <w:rPr>
          <w:rFonts w:cstheme="minorHAnsi"/>
        </w:rPr>
        <w:t> </w:t>
      </w:r>
      <w:r w:rsidRPr="00C775E7">
        <w:rPr>
          <w:rFonts w:cstheme="minorHAnsi"/>
        </w:rPr>
        <w:t>IÚS</w:t>
      </w:r>
      <w:r w:rsidR="00867006">
        <w:rPr>
          <w:rFonts w:cstheme="minorHAnsi"/>
        </w:rPr>
        <w:t>, ktoré boli prijímané až po schválení programu</w:t>
      </w:r>
      <w:r w:rsidRPr="00C775E7">
        <w:rPr>
          <w:rFonts w:cstheme="minorHAnsi"/>
        </w:rPr>
        <w:t>.</w:t>
      </w:r>
    </w:p>
    <w:p w14:paraId="09A8C510" w14:textId="32D92D7F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Zo strany MIRRI SR bolo deklarované, že územným partnerom </w:t>
      </w:r>
      <w:r w:rsidR="00867006">
        <w:rPr>
          <w:rFonts w:cstheme="minorHAnsi"/>
        </w:rPr>
        <w:t xml:space="preserve">bude </w:t>
      </w:r>
      <w:r w:rsidRPr="00C775E7">
        <w:rPr>
          <w:rFonts w:cstheme="minorHAnsi"/>
        </w:rPr>
        <w:t>umožnené, aby si alokácie v opatreniach / špecifických cieľoch upravili podľa potreby.</w:t>
      </w:r>
    </w:p>
    <w:p w14:paraId="52FD1305" w14:textId="50B34205" w:rsidR="007403D8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>Z vyššie uvedených dôvodov</w:t>
      </w:r>
      <w:r w:rsidRPr="00C775E7">
        <w:rPr>
          <w:rFonts w:cstheme="minorHAnsi"/>
          <w:b/>
        </w:rPr>
        <w:t>, reflektujúc na oprávnené požiadavky územných partnerov na zreálnenie územných alokácií, s cieľom umožnenia realizovať prioritné projekty</w:t>
      </w:r>
      <w:r w:rsidR="001D1FCF" w:rsidRPr="005A6FF6">
        <w:rPr>
          <w:rFonts w:cstheme="minorHAnsi"/>
          <w:bCs/>
        </w:rPr>
        <w:t>,</w:t>
      </w:r>
      <w:r w:rsidRPr="00C775E7">
        <w:rPr>
          <w:rFonts w:cstheme="minorHAnsi"/>
        </w:rPr>
        <w:t xml:space="preserve"> MIRRI SR</w:t>
      </w:r>
      <w:r w:rsidR="001D1FCF" w:rsidRPr="00C775E7">
        <w:rPr>
          <w:rFonts w:cstheme="minorHAnsi"/>
        </w:rPr>
        <w:t xml:space="preserve"> </w:t>
      </w:r>
      <w:r w:rsidRPr="00C775E7">
        <w:rPr>
          <w:rFonts w:cstheme="minorHAnsi"/>
        </w:rPr>
        <w:t>predkladá tento materiál.</w:t>
      </w:r>
    </w:p>
    <w:p w14:paraId="39280FCC" w14:textId="77777777" w:rsidR="005C003B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>Predložené návrhy na presuny vyplývajú zo zberu požiadaviek územných partnerov, ktorý bol realizovaný v </w:t>
      </w:r>
      <w:r w:rsidR="005C003B">
        <w:rPr>
          <w:rFonts w:cstheme="minorHAnsi"/>
        </w:rPr>
        <w:t xml:space="preserve">termíne 02.05.2024 – 14.06.2024. </w:t>
      </w:r>
    </w:p>
    <w:p w14:paraId="7CD36AC4" w14:textId="0CEE9DCA" w:rsidR="007403D8" w:rsidRPr="00C775E7" w:rsidRDefault="005C003B" w:rsidP="00BE6C37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Návrhy na presuny boli územnými partnermi potvrdené v januári 2025.</w:t>
      </w:r>
    </w:p>
    <w:p w14:paraId="40B47031" w14:textId="65794EE2" w:rsidR="001D1FCF" w:rsidRPr="00C775E7" w:rsidRDefault="007403D8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MIRRI SR vykonalo </w:t>
      </w:r>
      <w:r w:rsidRPr="00C775E7">
        <w:rPr>
          <w:rFonts w:cstheme="minorHAnsi"/>
          <w:b/>
        </w:rPr>
        <w:t>predbežné posúdenie predložených návrhov územných partnerov</w:t>
      </w:r>
      <w:r w:rsidRPr="00C775E7">
        <w:rPr>
          <w:rFonts w:cstheme="minorHAnsi"/>
        </w:rPr>
        <w:t xml:space="preserve">. Pri predbežnom vyjadrení </w:t>
      </w:r>
      <w:r w:rsidRPr="00C775E7">
        <w:rPr>
          <w:rFonts w:cstheme="minorHAnsi"/>
          <w:b/>
        </w:rPr>
        <w:t>bol posúdený vplyv</w:t>
      </w:r>
      <w:r w:rsidRPr="00C775E7">
        <w:rPr>
          <w:rFonts w:cstheme="minorHAnsi"/>
        </w:rPr>
        <w:t xml:space="preserve"> presunu alokácie na podporu </w:t>
      </w:r>
      <w:r w:rsidR="00867006">
        <w:rPr>
          <w:rFonts w:cstheme="minorHAnsi"/>
        </w:rPr>
        <w:t xml:space="preserve">troch </w:t>
      </w:r>
      <w:r w:rsidRPr="00C775E7">
        <w:rPr>
          <w:rFonts w:cstheme="minorHAnsi"/>
        </w:rPr>
        <w:t xml:space="preserve">cieľov: </w:t>
      </w:r>
    </w:p>
    <w:p w14:paraId="17AFF014" w14:textId="77777777" w:rsidR="001D1FCF" w:rsidRPr="00C775E7" w:rsidRDefault="007403D8" w:rsidP="00C775E7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 xml:space="preserve">1. Podpora v oblasti zmeny klímy, </w:t>
      </w:r>
    </w:p>
    <w:p w14:paraId="4E35049D" w14:textId="77777777" w:rsidR="001D1FCF" w:rsidRPr="00C775E7" w:rsidRDefault="007403D8" w:rsidP="00C775E7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 xml:space="preserve">2. Podpora v oblasti životného prostredia a </w:t>
      </w:r>
    </w:p>
    <w:p w14:paraId="08D8E77F" w14:textId="09EB869B" w:rsidR="005D63D0" w:rsidRPr="00AF125D" w:rsidRDefault="007403D8" w:rsidP="00AF125D">
      <w:pPr>
        <w:pStyle w:val="Odsekzoznamu"/>
        <w:numPr>
          <w:ilvl w:val="0"/>
          <w:numId w:val="20"/>
        </w:numPr>
        <w:spacing w:after="120" w:line="240" w:lineRule="auto"/>
        <w:ind w:left="714" w:hanging="357"/>
        <w:contextualSpacing w:val="0"/>
        <w:jc w:val="both"/>
        <w:rPr>
          <w:rFonts w:cstheme="minorHAnsi"/>
          <w:b/>
        </w:rPr>
      </w:pPr>
      <w:r w:rsidRPr="00C775E7">
        <w:rPr>
          <w:rFonts w:cstheme="minorHAnsi"/>
          <w:b/>
        </w:rPr>
        <w:t>3. Podpora v oblasti biodiverzity.</w:t>
      </w:r>
    </w:p>
    <w:p w14:paraId="6D226DF1" w14:textId="162A5D8E" w:rsidR="00AF125D" w:rsidRDefault="00AF125D" w:rsidP="00BE6C37">
      <w:pPr>
        <w:spacing w:before="120" w:after="120" w:line="240" w:lineRule="auto"/>
        <w:jc w:val="both"/>
        <w:rPr>
          <w:rFonts w:cstheme="minorHAnsi"/>
          <w:b/>
        </w:rPr>
      </w:pPr>
    </w:p>
    <w:p w14:paraId="34FBFF66" w14:textId="77777777" w:rsidR="00AF125D" w:rsidRPr="00AF125D" w:rsidRDefault="00AF125D" w:rsidP="00AF125D">
      <w:pPr>
        <w:spacing w:before="120" w:after="120" w:line="240" w:lineRule="auto"/>
        <w:jc w:val="both"/>
        <w:rPr>
          <w:rFonts w:cstheme="minorHAnsi"/>
          <w:b/>
        </w:rPr>
      </w:pPr>
      <w:r w:rsidRPr="00AF125D">
        <w:rPr>
          <w:rFonts w:cstheme="minorHAnsi"/>
          <w:b/>
        </w:rPr>
        <w:lastRenderedPageBreak/>
        <w:t>1. fázu presunov v objeme 78 419 689 EUR schválil Monitorovací výbor pre Program Slovensko dňa 14.10.2024.</w:t>
      </w:r>
    </w:p>
    <w:p w14:paraId="7253CF86" w14:textId="77777777" w:rsidR="00AF125D" w:rsidRDefault="00AF125D" w:rsidP="00BE6C37">
      <w:pPr>
        <w:spacing w:before="120" w:after="120" w:line="240" w:lineRule="auto"/>
        <w:jc w:val="both"/>
        <w:rPr>
          <w:rFonts w:cstheme="minorHAnsi"/>
          <w:b/>
        </w:rPr>
      </w:pPr>
    </w:p>
    <w:p w14:paraId="0030F21B" w14:textId="5107C7A3" w:rsidR="005D63D0" w:rsidRPr="00C775E7" w:rsidRDefault="00AF125D" w:rsidP="00BE6C37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>Navrhované</w:t>
      </w:r>
      <w:r w:rsidR="005D63D0" w:rsidRPr="00C775E7">
        <w:rPr>
          <w:rFonts w:cstheme="minorHAnsi"/>
        </w:rPr>
        <w:t xml:space="preserve"> presuny je možné realizovať bez potreby „veľkej“ revízie P</w:t>
      </w:r>
      <w:r w:rsidR="00EF0AF8" w:rsidRPr="00C775E7">
        <w:rPr>
          <w:rFonts w:cstheme="minorHAnsi"/>
        </w:rPr>
        <w:t>rogramu Slovensko</w:t>
      </w:r>
      <w:r w:rsidR="005D63D0" w:rsidRPr="00C775E7">
        <w:rPr>
          <w:rFonts w:cstheme="minorHAnsi"/>
        </w:rPr>
        <w:t xml:space="preserve">, len tzv. „malou“ revíziou cez </w:t>
      </w:r>
      <w:r w:rsidR="00EF0AF8" w:rsidRPr="00C775E7">
        <w:rPr>
          <w:rFonts w:cstheme="minorHAnsi"/>
        </w:rPr>
        <w:t>Monitorovací výbor pre Program Slovensko</w:t>
      </w:r>
      <w:r w:rsidR="005D63D0" w:rsidRPr="00C775E7">
        <w:rPr>
          <w:rFonts w:cstheme="minorHAnsi"/>
        </w:rPr>
        <w:t>, k presunom dochádza v rámci územne</w:t>
      </w:r>
      <w:r w:rsidR="005C003B">
        <w:rPr>
          <w:rFonts w:cstheme="minorHAnsi"/>
        </w:rPr>
        <w:t>j alokácie, „medzi opatreniami“.</w:t>
      </w:r>
    </w:p>
    <w:p w14:paraId="20EEA90D" w14:textId="76B64382" w:rsidR="00660AF9" w:rsidRPr="00CE3F17" w:rsidRDefault="00660AF9" w:rsidP="00BE6C37">
      <w:pPr>
        <w:spacing w:after="120" w:line="240" w:lineRule="auto"/>
        <w:jc w:val="both"/>
        <w:rPr>
          <w:rFonts w:cstheme="minorHAnsi"/>
        </w:rPr>
      </w:pPr>
      <w:r w:rsidRPr="00C775E7">
        <w:rPr>
          <w:rFonts w:cstheme="minorHAnsi"/>
        </w:rPr>
        <w:t xml:space="preserve">Presun medzi prioritami Programu </w:t>
      </w:r>
      <w:r w:rsidR="00EF0AF8" w:rsidRPr="00C775E7">
        <w:rPr>
          <w:rFonts w:cstheme="minorHAnsi"/>
        </w:rPr>
        <w:t xml:space="preserve">Slovensko </w:t>
      </w:r>
      <w:r w:rsidRPr="00C775E7">
        <w:rPr>
          <w:rFonts w:cstheme="minorHAnsi"/>
        </w:rPr>
        <w:t xml:space="preserve">sa v prípade jeho schválenia uskutoční podľa článku 24, ods. 4 nariadenia o spoločných ustanoveniach, ktorý umožňuje previesť na inú prioritu </w:t>
      </w:r>
      <w:r w:rsidRPr="00CE3F17">
        <w:rPr>
          <w:rFonts w:cstheme="minorHAnsi"/>
        </w:rPr>
        <w:t>v rámci rovnakého fondu najviac 8</w:t>
      </w:r>
      <w:r w:rsidR="00CE3F17" w:rsidRPr="00CE3F17">
        <w:rPr>
          <w:rFonts w:cstheme="minorHAnsi"/>
        </w:rPr>
        <w:t xml:space="preserve"> </w:t>
      </w:r>
      <w:r w:rsidRPr="00CE3F17">
        <w:rPr>
          <w:rFonts w:cstheme="minorHAnsi"/>
        </w:rPr>
        <w:t xml:space="preserve">% počiatočných pridelených prostriedkov v rámci toho istého fondu a tej istej kategórie regiónov. </w:t>
      </w:r>
      <w:r w:rsidR="00330BBA" w:rsidRPr="005A6FF6">
        <w:rPr>
          <w:rFonts w:cstheme="minorHAnsi"/>
        </w:rPr>
        <w:t xml:space="preserve">Táto zmena sa v zmysle článku 24 ods. 5  nariadenia o spoločných ustanoveniach nepovažuje za zásadnú a nevyžaduje si rozhodnutie Komisie o schválení programu, avšak zmena má dopad na finančný plán, čo si vyžaduje predloženie upraveného finančného plánu na </w:t>
      </w:r>
      <w:r w:rsidR="003E5616" w:rsidRPr="005A6FF6">
        <w:rPr>
          <w:rFonts w:cstheme="minorHAnsi"/>
        </w:rPr>
        <w:t>posúdenie Ministerstvu financií SR</w:t>
      </w:r>
      <w:r w:rsidR="00330BBA" w:rsidRPr="005A6FF6">
        <w:rPr>
          <w:rFonts w:cstheme="minorHAnsi"/>
        </w:rPr>
        <w:t>. Všetky zmeny budú zapracované do najbližšej formálnej revízie programu, predkladanej Európsk</w:t>
      </w:r>
      <w:r w:rsidR="003E5616" w:rsidRPr="005A6FF6">
        <w:rPr>
          <w:rFonts w:cstheme="minorHAnsi"/>
        </w:rPr>
        <w:t>ej</w:t>
      </w:r>
      <w:r w:rsidR="00330BBA" w:rsidRPr="005A6FF6">
        <w:rPr>
          <w:rFonts w:cstheme="minorHAnsi"/>
        </w:rPr>
        <w:t xml:space="preserve"> komisi</w:t>
      </w:r>
      <w:r w:rsidR="003E5616" w:rsidRPr="005A6FF6">
        <w:rPr>
          <w:rFonts w:cstheme="minorHAnsi"/>
        </w:rPr>
        <w:t>i</w:t>
      </w:r>
      <w:r w:rsidR="00330BBA" w:rsidRPr="005A6FF6">
        <w:rPr>
          <w:rFonts w:cstheme="minorHAnsi"/>
        </w:rPr>
        <w:t xml:space="preserve"> na schválenie.</w:t>
      </w:r>
      <w:r w:rsidR="00330BBA" w:rsidRPr="00CE3F17">
        <w:rPr>
          <w:rFonts w:cstheme="minorHAnsi"/>
        </w:rPr>
        <w:t xml:space="preserve"> </w:t>
      </w:r>
    </w:p>
    <w:p w14:paraId="4406D49C" w14:textId="0AE88A43" w:rsidR="000D6310" w:rsidRPr="005A6FF6" w:rsidRDefault="000D6310" w:rsidP="005A6FF6">
      <w:pPr>
        <w:spacing w:after="120" w:line="240" w:lineRule="auto"/>
        <w:jc w:val="both"/>
        <w:rPr>
          <w:rFonts w:cstheme="minorHAnsi"/>
        </w:rPr>
      </w:pPr>
      <w:r w:rsidRPr="005A6FF6">
        <w:rPr>
          <w:rFonts w:cstheme="minorHAnsi"/>
        </w:rPr>
        <w:t xml:space="preserve">Návrh presunu prostriedkov </w:t>
      </w:r>
      <w:r w:rsidR="00EF0AF8" w:rsidRPr="005A6FF6">
        <w:rPr>
          <w:rFonts w:cstheme="minorHAnsi"/>
        </w:rPr>
        <w:t xml:space="preserve">bude </w:t>
      </w:r>
      <w:r w:rsidRPr="005A6FF6">
        <w:rPr>
          <w:rFonts w:cstheme="minorHAnsi"/>
        </w:rPr>
        <w:t>zapracovaný do aktuálnej verzie Programu Slovensko formou sledovania zmien</w:t>
      </w:r>
      <w:r w:rsidR="00EF0AF8" w:rsidRPr="005A6FF6">
        <w:rPr>
          <w:rFonts w:cstheme="minorHAnsi"/>
        </w:rPr>
        <w:t xml:space="preserve"> a takýto návrh bude, po rokovaní všetkých relevantných komisií, ktorých sa navrhované presuny týkajú, finálne predložený na rokovanie Monitorovacieho výboru v októbri 2024.</w:t>
      </w:r>
      <w:r w:rsidR="00CE3F17" w:rsidRPr="005A6FF6">
        <w:rPr>
          <w:rFonts w:cstheme="minorHAnsi"/>
        </w:rPr>
        <w:t xml:space="preserve"> </w:t>
      </w:r>
      <w:r w:rsidRPr="005A6FF6">
        <w:rPr>
          <w:rFonts w:cstheme="minorHAnsi"/>
        </w:rPr>
        <w:t xml:space="preserve">V prípade schválenia návrhu bude upravený Program Slovensko zverejnený na webovom sídle  </w:t>
      </w:r>
      <w:hyperlink r:id="rId8" w:history="1">
        <w:r w:rsidRPr="005A6FF6">
          <w:rPr>
            <w:rStyle w:val="Hypertextovprepojenie"/>
            <w:rFonts w:cstheme="minorHAnsi"/>
          </w:rPr>
          <w:t>www.eurofondy.gov.sk</w:t>
        </w:r>
      </w:hyperlink>
    </w:p>
    <w:p w14:paraId="6EC18107" w14:textId="77777777" w:rsidR="00B210F5" w:rsidRPr="00C775E7" w:rsidRDefault="00B210F5" w:rsidP="00BE6C37">
      <w:pPr>
        <w:spacing w:after="120" w:line="240" w:lineRule="auto"/>
        <w:jc w:val="both"/>
        <w:rPr>
          <w:rFonts w:cstheme="minorHAnsi"/>
        </w:rPr>
      </w:pPr>
      <w:r w:rsidRPr="005A6FF6">
        <w:rPr>
          <w:rFonts w:cstheme="minorHAnsi"/>
        </w:rPr>
        <w:t>Následne budú formou dodatku upravené Zmluvy o poverení na vykonávanie časti úloh riadiaceho orgánu sprostredkovateľským orgánom a o zodpovednostiach súvisiacich s týmto poverením so všetkými dotknutými rezortmi</w:t>
      </w:r>
      <w:r w:rsidR="00303940" w:rsidRPr="005A6FF6">
        <w:rPr>
          <w:rFonts w:cstheme="minorHAnsi"/>
        </w:rPr>
        <w:t xml:space="preserve"> a v prípade potreby aj finančný plán Programu Slovensko</w:t>
      </w:r>
      <w:r w:rsidRPr="005A6FF6">
        <w:rPr>
          <w:rFonts w:cstheme="minorHAnsi"/>
        </w:rPr>
        <w:t>.</w:t>
      </w:r>
    </w:p>
    <w:p w14:paraId="5E5FD7D8" w14:textId="77777777" w:rsidR="003E5616" w:rsidRPr="00C775E7" w:rsidRDefault="003E5616" w:rsidP="00262814">
      <w:pPr>
        <w:spacing w:after="0" w:line="240" w:lineRule="auto"/>
        <w:jc w:val="both"/>
        <w:rPr>
          <w:rFonts w:cstheme="minorHAnsi"/>
        </w:rPr>
      </w:pPr>
    </w:p>
    <w:p w14:paraId="5C212FC0" w14:textId="77777777" w:rsidR="000D6310" w:rsidRPr="00C775E7" w:rsidRDefault="000D6310" w:rsidP="000D6310">
      <w:pPr>
        <w:spacing w:after="0" w:line="240" w:lineRule="auto"/>
        <w:jc w:val="both"/>
        <w:rPr>
          <w:rFonts w:eastAsia="Times New Roman" w:cstheme="minorHAnsi"/>
        </w:rPr>
      </w:pPr>
    </w:p>
    <w:p w14:paraId="454C6B6D" w14:textId="737048FB" w:rsidR="000D6310" w:rsidRPr="00C775E7" w:rsidRDefault="000D6310" w:rsidP="00457D06">
      <w:pPr>
        <w:rPr>
          <w:rFonts w:cstheme="minorHAnsi"/>
          <w:b/>
        </w:rPr>
      </w:pPr>
    </w:p>
    <w:sectPr w:rsidR="000D6310" w:rsidRPr="00C775E7" w:rsidSect="00C7436B"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73490" w14:textId="77777777" w:rsidR="00BF3A5F" w:rsidRDefault="00BF3A5F" w:rsidP="00635996">
      <w:pPr>
        <w:spacing w:after="0" w:line="240" w:lineRule="auto"/>
      </w:pPr>
      <w:r>
        <w:separator/>
      </w:r>
    </w:p>
  </w:endnote>
  <w:endnote w:type="continuationSeparator" w:id="0">
    <w:p w14:paraId="72AA6B64" w14:textId="77777777" w:rsidR="00BF3A5F" w:rsidRDefault="00BF3A5F" w:rsidP="00635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50736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CD485F0" w14:textId="455D2EEA" w:rsidR="00323535" w:rsidRPr="00262814" w:rsidRDefault="00323535">
        <w:pPr>
          <w:pStyle w:val="Pta"/>
          <w:jc w:val="center"/>
          <w:rPr>
            <w:rFonts w:ascii="Arial" w:hAnsi="Arial" w:cs="Arial"/>
            <w:sz w:val="16"/>
            <w:szCs w:val="16"/>
          </w:rPr>
        </w:pPr>
        <w:r w:rsidRPr="00262814">
          <w:rPr>
            <w:rFonts w:ascii="Arial" w:hAnsi="Arial" w:cs="Arial"/>
            <w:sz w:val="16"/>
            <w:szCs w:val="16"/>
          </w:rPr>
          <w:fldChar w:fldCharType="begin"/>
        </w:r>
        <w:r w:rsidRPr="00262814">
          <w:rPr>
            <w:rFonts w:ascii="Arial" w:hAnsi="Arial" w:cs="Arial"/>
            <w:sz w:val="16"/>
            <w:szCs w:val="16"/>
          </w:rPr>
          <w:instrText>PAGE   \* MERGEFORMAT</w:instrText>
        </w:r>
        <w:r w:rsidRPr="00262814">
          <w:rPr>
            <w:rFonts w:ascii="Arial" w:hAnsi="Arial" w:cs="Arial"/>
            <w:sz w:val="16"/>
            <w:szCs w:val="16"/>
          </w:rPr>
          <w:fldChar w:fldCharType="separate"/>
        </w:r>
        <w:r w:rsidR="00303E02">
          <w:rPr>
            <w:rFonts w:ascii="Arial" w:hAnsi="Arial" w:cs="Arial"/>
            <w:noProof/>
            <w:sz w:val="16"/>
            <w:szCs w:val="16"/>
          </w:rPr>
          <w:t>1</w:t>
        </w:r>
        <w:r w:rsidRPr="0026281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065206A" w14:textId="77777777" w:rsidR="00323535" w:rsidRDefault="003235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9FEC0" w14:textId="77777777" w:rsidR="00BF3A5F" w:rsidRDefault="00BF3A5F" w:rsidP="00635996">
      <w:pPr>
        <w:spacing w:after="0" w:line="240" w:lineRule="auto"/>
      </w:pPr>
      <w:r>
        <w:separator/>
      </w:r>
    </w:p>
  </w:footnote>
  <w:footnote w:type="continuationSeparator" w:id="0">
    <w:p w14:paraId="5BEE92DC" w14:textId="77777777" w:rsidR="00BF3A5F" w:rsidRDefault="00BF3A5F" w:rsidP="006359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2923"/>
    <w:multiLevelType w:val="hybridMultilevel"/>
    <w:tmpl w:val="3F0AABEC"/>
    <w:lvl w:ilvl="0" w:tplc="2070E42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720B"/>
    <w:multiLevelType w:val="hybridMultilevel"/>
    <w:tmpl w:val="2BD018F0"/>
    <w:lvl w:ilvl="0" w:tplc="5FA252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6CF5"/>
    <w:multiLevelType w:val="multilevel"/>
    <w:tmpl w:val="B004F8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2."/>
      <w:lvlJc w:val="left"/>
      <w:pPr>
        <w:ind w:left="576" w:hanging="576"/>
      </w:pPr>
      <w:rPr>
        <w:rFonts w:hint="default"/>
        <w:b/>
        <w:bCs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5A51515"/>
    <w:multiLevelType w:val="hybridMultilevel"/>
    <w:tmpl w:val="7F905054"/>
    <w:lvl w:ilvl="0" w:tplc="46989CB0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319DE"/>
    <w:multiLevelType w:val="hybridMultilevel"/>
    <w:tmpl w:val="2F3A2E10"/>
    <w:lvl w:ilvl="0" w:tplc="A80EB69C">
      <w:start w:val="1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021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096908"/>
    <w:multiLevelType w:val="hybridMultilevel"/>
    <w:tmpl w:val="A0A0AB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F06135"/>
    <w:multiLevelType w:val="multilevel"/>
    <w:tmpl w:val="E48EA2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5FC6D5B"/>
    <w:multiLevelType w:val="hybridMultilevel"/>
    <w:tmpl w:val="9A6CB46A"/>
    <w:lvl w:ilvl="0" w:tplc="0B02BDB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03C"/>
    <w:multiLevelType w:val="hybridMultilevel"/>
    <w:tmpl w:val="3D3450A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F7800"/>
    <w:multiLevelType w:val="hybridMultilevel"/>
    <w:tmpl w:val="1B9A50EC"/>
    <w:lvl w:ilvl="0" w:tplc="B9C0AA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01305"/>
    <w:multiLevelType w:val="hybridMultilevel"/>
    <w:tmpl w:val="D346BEC2"/>
    <w:lvl w:ilvl="0" w:tplc="5FA252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63831"/>
    <w:multiLevelType w:val="hybridMultilevel"/>
    <w:tmpl w:val="B848587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2E0CAB"/>
    <w:multiLevelType w:val="hybridMultilevel"/>
    <w:tmpl w:val="3F305E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F6C4E"/>
    <w:multiLevelType w:val="hybridMultilevel"/>
    <w:tmpl w:val="634CBCE8"/>
    <w:lvl w:ilvl="0" w:tplc="041B001B">
      <w:start w:val="1"/>
      <w:numFmt w:val="lowerRoman"/>
      <w:lvlText w:val="%1."/>
      <w:lvlJc w:val="righ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5529F9"/>
    <w:multiLevelType w:val="hybridMultilevel"/>
    <w:tmpl w:val="70443B7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D1F1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A6288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445514"/>
    <w:multiLevelType w:val="hybridMultilevel"/>
    <w:tmpl w:val="3BE886BC"/>
    <w:lvl w:ilvl="0" w:tplc="64AEDEAC">
      <w:start w:val="2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37233"/>
    <w:multiLevelType w:val="hybridMultilevel"/>
    <w:tmpl w:val="DD801D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71EEE"/>
    <w:multiLevelType w:val="hybridMultilevel"/>
    <w:tmpl w:val="80F6F90E"/>
    <w:lvl w:ilvl="0" w:tplc="3782C0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6790B"/>
    <w:multiLevelType w:val="hybridMultilevel"/>
    <w:tmpl w:val="D6CCD398"/>
    <w:lvl w:ilvl="0" w:tplc="0EDC80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7296A"/>
    <w:multiLevelType w:val="hybridMultilevel"/>
    <w:tmpl w:val="21D682D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A1AAB"/>
    <w:multiLevelType w:val="hybridMultilevel"/>
    <w:tmpl w:val="0FFECE3A"/>
    <w:lvl w:ilvl="0" w:tplc="ABDA42E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81DCC"/>
    <w:multiLevelType w:val="hybridMultilevel"/>
    <w:tmpl w:val="A8429E24"/>
    <w:lvl w:ilvl="0" w:tplc="64AEDEAC">
      <w:start w:val="2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14"/>
  </w:num>
  <w:num w:numId="7">
    <w:abstractNumId w:val="22"/>
  </w:num>
  <w:num w:numId="8">
    <w:abstractNumId w:val="1"/>
  </w:num>
  <w:num w:numId="9">
    <w:abstractNumId w:val="11"/>
  </w:num>
  <w:num w:numId="10">
    <w:abstractNumId w:val="18"/>
  </w:num>
  <w:num w:numId="11">
    <w:abstractNumId w:val="24"/>
  </w:num>
  <w:num w:numId="12">
    <w:abstractNumId w:val="12"/>
  </w:num>
  <w:num w:numId="13">
    <w:abstractNumId w:val="13"/>
  </w:num>
  <w:num w:numId="14">
    <w:abstractNumId w:val="23"/>
  </w:num>
  <w:num w:numId="15">
    <w:abstractNumId w:val="8"/>
  </w:num>
  <w:num w:numId="16">
    <w:abstractNumId w:val="15"/>
  </w:num>
  <w:num w:numId="17">
    <w:abstractNumId w:val="9"/>
  </w:num>
  <w:num w:numId="18">
    <w:abstractNumId w:val="19"/>
  </w:num>
  <w:num w:numId="19">
    <w:abstractNumId w:val="20"/>
  </w:num>
  <w:num w:numId="20">
    <w:abstractNumId w:val="10"/>
  </w:num>
  <w:num w:numId="21">
    <w:abstractNumId w:val="21"/>
  </w:num>
  <w:num w:numId="22">
    <w:abstractNumId w:val="16"/>
  </w:num>
  <w:num w:numId="23">
    <w:abstractNumId w:val="5"/>
  </w:num>
  <w:num w:numId="24">
    <w:abstractNumId w:val="17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broň, Michal">
    <w15:presenceInfo w15:providerId="AD" w15:userId="S-1-5-21-2332600637-3570002247-782700039-116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72"/>
    <w:rsid w:val="0000238B"/>
    <w:rsid w:val="00007CA8"/>
    <w:rsid w:val="00031566"/>
    <w:rsid w:val="000442C0"/>
    <w:rsid w:val="00061854"/>
    <w:rsid w:val="000646E6"/>
    <w:rsid w:val="0006532F"/>
    <w:rsid w:val="00087693"/>
    <w:rsid w:val="000940D4"/>
    <w:rsid w:val="000B2AE8"/>
    <w:rsid w:val="000C5044"/>
    <w:rsid w:val="000D106D"/>
    <w:rsid w:val="000D6310"/>
    <w:rsid w:val="000E1F64"/>
    <w:rsid w:val="000F584E"/>
    <w:rsid w:val="00107004"/>
    <w:rsid w:val="00117B30"/>
    <w:rsid w:val="0013292D"/>
    <w:rsid w:val="001643A3"/>
    <w:rsid w:val="001661E7"/>
    <w:rsid w:val="001928DE"/>
    <w:rsid w:val="00194F71"/>
    <w:rsid w:val="001A0359"/>
    <w:rsid w:val="001A0A25"/>
    <w:rsid w:val="001A1FD3"/>
    <w:rsid w:val="001D1FCF"/>
    <w:rsid w:val="001D5EE8"/>
    <w:rsid w:val="00200CDB"/>
    <w:rsid w:val="00200ED1"/>
    <w:rsid w:val="002053C2"/>
    <w:rsid w:val="00207548"/>
    <w:rsid w:val="00244C68"/>
    <w:rsid w:val="00262814"/>
    <w:rsid w:val="00286564"/>
    <w:rsid w:val="002B0BFA"/>
    <w:rsid w:val="002B12E5"/>
    <w:rsid w:val="002B1DA2"/>
    <w:rsid w:val="002D0DD5"/>
    <w:rsid w:val="002D1522"/>
    <w:rsid w:val="002E34C7"/>
    <w:rsid w:val="002E5856"/>
    <w:rsid w:val="003028C9"/>
    <w:rsid w:val="00303306"/>
    <w:rsid w:val="00303940"/>
    <w:rsid w:val="00303E02"/>
    <w:rsid w:val="00306C6B"/>
    <w:rsid w:val="00311FA2"/>
    <w:rsid w:val="00320A40"/>
    <w:rsid w:val="00323535"/>
    <w:rsid w:val="00330BBA"/>
    <w:rsid w:val="00342455"/>
    <w:rsid w:val="00346F6D"/>
    <w:rsid w:val="00353DDF"/>
    <w:rsid w:val="00364617"/>
    <w:rsid w:val="0037297B"/>
    <w:rsid w:val="00375170"/>
    <w:rsid w:val="00375E07"/>
    <w:rsid w:val="00383217"/>
    <w:rsid w:val="003A4066"/>
    <w:rsid w:val="003B20C4"/>
    <w:rsid w:val="003C4204"/>
    <w:rsid w:val="003D3D17"/>
    <w:rsid w:val="003E5616"/>
    <w:rsid w:val="003F4AF3"/>
    <w:rsid w:val="00401C3F"/>
    <w:rsid w:val="00411C89"/>
    <w:rsid w:val="004246C7"/>
    <w:rsid w:val="004543D0"/>
    <w:rsid w:val="00457D06"/>
    <w:rsid w:val="004960AE"/>
    <w:rsid w:val="004C3D6F"/>
    <w:rsid w:val="004C40ED"/>
    <w:rsid w:val="004D19FE"/>
    <w:rsid w:val="004F5BBD"/>
    <w:rsid w:val="00505869"/>
    <w:rsid w:val="00514E02"/>
    <w:rsid w:val="0052115C"/>
    <w:rsid w:val="00523C84"/>
    <w:rsid w:val="0053152B"/>
    <w:rsid w:val="0053744A"/>
    <w:rsid w:val="00545750"/>
    <w:rsid w:val="00551D08"/>
    <w:rsid w:val="005520AA"/>
    <w:rsid w:val="00555CD5"/>
    <w:rsid w:val="00570E84"/>
    <w:rsid w:val="00581075"/>
    <w:rsid w:val="00585356"/>
    <w:rsid w:val="00596ABC"/>
    <w:rsid w:val="005A6FF6"/>
    <w:rsid w:val="005C003B"/>
    <w:rsid w:val="005C30CB"/>
    <w:rsid w:val="005C6982"/>
    <w:rsid w:val="005C7FBC"/>
    <w:rsid w:val="005D10A5"/>
    <w:rsid w:val="005D60F4"/>
    <w:rsid w:val="005D63D0"/>
    <w:rsid w:val="005E10E8"/>
    <w:rsid w:val="005F1437"/>
    <w:rsid w:val="00626A9A"/>
    <w:rsid w:val="00635996"/>
    <w:rsid w:val="00654DB0"/>
    <w:rsid w:val="00655487"/>
    <w:rsid w:val="00660AF9"/>
    <w:rsid w:val="00661466"/>
    <w:rsid w:val="006655FB"/>
    <w:rsid w:val="00674596"/>
    <w:rsid w:val="00697D30"/>
    <w:rsid w:val="006A59D0"/>
    <w:rsid w:val="006B2AAA"/>
    <w:rsid w:val="006C3A91"/>
    <w:rsid w:val="006C3EC5"/>
    <w:rsid w:val="006D2E13"/>
    <w:rsid w:val="006E1102"/>
    <w:rsid w:val="006E4EC7"/>
    <w:rsid w:val="007007C8"/>
    <w:rsid w:val="00721439"/>
    <w:rsid w:val="00733C28"/>
    <w:rsid w:val="00735989"/>
    <w:rsid w:val="007403D8"/>
    <w:rsid w:val="00743E53"/>
    <w:rsid w:val="00745BE9"/>
    <w:rsid w:val="00747243"/>
    <w:rsid w:val="007717EF"/>
    <w:rsid w:val="0077599B"/>
    <w:rsid w:val="00782F9F"/>
    <w:rsid w:val="00784C65"/>
    <w:rsid w:val="00793633"/>
    <w:rsid w:val="007A3552"/>
    <w:rsid w:val="007A50BC"/>
    <w:rsid w:val="007A5BCD"/>
    <w:rsid w:val="007B4DCD"/>
    <w:rsid w:val="007D5602"/>
    <w:rsid w:val="007E3CF1"/>
    <w:rsid w:val="007E473B"/>
    <w:rsid w:val="007E502A"/>
    <w:rsid w:val="007F265D"/>
    <w:rsid w:val="00812ECA"/>
    <w:rsid w:val="008244C9"/>
    <w:rsid w:val="008262A0"/>
    <w:rsid w:val="00834715"/>
    <w:rsid w:val="00847E4A"/>
    <w:rsid w:val="008652C6"/>
    <w:rsid w:val="008653C5"/>
    <w:rsid w:val="00867006"/>
    <w:rsid w:val="00871E7C"/>
    <w:rsid w:val="00877423"/>
    <w:rsid w:val="008812F3"/>
    <w:rsid w:val="008850F1"/>
    <w:rsid w:val="0088566E"/>
    <w:rsid w:val="00897FDE"/>
    <w:rsid w:val="008B4D3B"/>
    <w:rsid w:val="008F205F"/>
    <w:rsid w:val="00900286"/>
    <w:rsid w:val="00906A95"/>
    <w:rsid w:val="00942286"/>
    <w:rsid w:val="00945867"/>
    <w:rsid w:val="009622B8"/>
    <w:rsid w:val="00981E58"/>
    <w:rsid w:val="009B489A"/>
    <w:rsid w:val="009C16B5"/>
    <w:rsid w:val="009C448E"/>
    <w:rsid w:val="009C4DA0"/>
    <w:rsid w:val="009D3503"/>
    <w:rsid w:val="009E0B1A"/>
    <w:rsid w:val="009E2EC1"/>
    <w:rsid w:val="009E5BA5"/>
    <w:rsid w:val="00A0569D"/>
    <w:rsid w:val="00A14B3E"/>
    <w:rsid w:val="00A24578"/>
    <w:rsid w:val="00A46601"/>
    <w:rsid w:val="00A62240"/>
    <w:rsid w:val="00A63B9F"/>
    <w:rsid w:val="00A70891"/>
    <w:rsid w:val="00A83145"/>
    <w:rsid w:val="00A85A77"/>
    <w:rsid w:val="00A903C7"/>
    <w:rsid w:val="00AB5D3B"/>
    <w:rsid w:val="00AC55C8"/>
    <w:rsid w:val="00AC6401"/>
    <w:rsid w:val="00AF125D"/>
    <w:rsid w:val="00B035C2"/>
    <w:rsid w:val="00B210F5"/>
    <w:rsid w:val="00B26D9A"/>
    <w:rsid w:val="00B80C75"/>
    <w:rsid w:val="00BB080C"/>
    <w:rsid w:val="00BE4444"/>
    <w:rsid w:val="00BE6C37"/>
    <w:rsid w:val="00BF3A5F"/>
    <w:rsid w:val="00C01B77"/>
    <w:rsid w:val="00C02984"/>
    <w:rsid w:val="00C10912"/>
    <w:rsid w:val="00C14D7E"/>
    <w:rsid w:val="00C24584"/>
    <w:rsid w:val="00C25072"/>
    <w:rsid w:val="00C53677"/>
    <w:rsid w:val="00C55EBF"/>
    <w:rsid w:val="00C650C7"/>
    <w:rsid w:val="00C7436B"/>
    <w:rsid w:val="00C775E7"/>
    <w:rsid w:val="00CA1645"/>
    <w:rsid w:val="00CB6996"/>
    <w:rsid w:val="00CD2D12"/>
    <w:rsid w:val="00CD482D"/>
    <w:rsid w:val="00CE3F17"/>
    <w:rsid w:val="00CF0A49"/>
    <w:rsid w:val="00CF77C4"/>
    <w:rsid w:val="00D40D1E"/>
    <w:rsid w:val="00D6299F"/>
    <w:rsid w:val="00D84C37"/>
    <w:rsid w:val="00D95D25"/>
    <w:rsid w:val="00DA4FC5"/>
    <w:rsid w:val="00DA7F27"/>
    <w:rsid w:val="00E2022E"/>
    <w:rsid w:val="00E440C5"/>
    <w:rsid w:val="00E50A5C"/>
    <w:rsid w:val="00E53C98"/>
    <w:rsid w:val="00E6337C"/>
    <w:rsid w:val="00E700B6"/>
    <w:rsid w:val="00E8651A"/>
    <w:rsid w:val="00E96B7C"/>
    <w:rsid w:val="00EA6E6C"/>
    <w:rsid w:val="00ED35A5"/>
    <w:rsid w:val="00EF0AF8"/>
    <w:rsid w:val="00EF31B3"/>
    <w:rsid w:val="00F007C4"/>
    <w:rsid w:val="00F175E0"/>
    <w:rsid w:val="00F21AE3"/>
    <w:rsid w:val="00F2688D"/>
    <w:rsid w:val="00F327DF"/>
    <w:rsid w:val="00F468C7"/>
    <w:rsid w:val="00F47A31"/>
    <w:rsid w:val="00F834E5"/>
    <w:rsid w:val="00F932D1"/>
    <w:rsid w:val="00F945C3"/>
    <w:rsid w:val="00F97E32"/>
    <w:rsid w:val="00FC0D42"/>
    <w:rsid w:val="00FD525E"/>
    <w:rsid w:val="00FF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0915"/>
  <w15:chartTrackingRefBased/>
  <w15:docId w15:val="{743B73E4-EBF5-41D8-A297-683C7EE5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0B2AE8"/>
    <w:pPr>
      <w:keepNext/>
      <w:keepLines/>
      <w:numPr>
        <w:numId w:val="25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B2AE8"/>
    <w:pPr>
      <w:keepNext/>
      <w:keepLines/>
      <w:numPr>
        <w:ilvl w:val="1"/>
        <w:numId w:val="25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B2AE8"/>
    <w:pPr>
      <w:keepNext/>
      <w:keepLines/>
      <w:numPr>
        <w:ilvl w:val="2"/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B2AE8"/>
    <w:pPr>
      <w:keepNext/>
      <w:keepLines/>
      <w:numPr>
        <w:ilvl w:val="3"/>
        <w:numId w:val="2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B2AE8"/>
    <w:pPr>
      <w:keepNext/>
      <w:keepLines/>
      <w:numPr>
        <w:ilvl w:val="4"/>
        <w:numId w:val="2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B2AE8"/>
    <w:pPr>
      <w:keepNext/>
      <w:keepLines/>
      <w:numPr>
        <w:ilvl w:val="5"/>
        <w:numId w:val="2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B2AE8"/>
    <w:pPr>
      <w:keepNext/>
      <w:keepLines/>
      <w:numPr>
        <w:ilvl w:val="6"/>
        <w:numId w:val="2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B2AE8"/>
    <w:pPr>
      <w:keepNext/>
      <w:keepLines/>
      <w:numPr>
        <w:ilvl w:val="7"/>
        <w:numId w:val="2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B2AE8"/>
    <w:pPr>
      <w:keepNext/>
      <w:keepLines/>
      <w:numPr>
        <w:ilvl w:val="8"/>
        <w:numId w:val="2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11FA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50C7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35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5996"/>
  </w:style>
  <w:style w:type="paragraph" w:styleId="Pta">
    <w:name w:val="footer"/>
    <w:basedOn w:val="Normlny"/>
    <w:link w:val="PtaChar"/>
    <w:uiPriority w:val="99"/>
    <w:unhideWhenUsed/>
    <w:rsid w:val="00635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5996"/>
  </w:style>
  <w:style w:type="character" w:styleId="Hypertextovprepojenie">
    <w:name w:val="Hyperlink"/>
    <w:basedOn w:val="Predvolenpsmoodseku"/>
    <w:uiPriority w:val="99"/>
    <w:unhideWhenUsed/>
    <w:rsid w:val="0000238B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16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14D7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14D7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14D7E"/>
    <w:rPr>
      <w:vertAlign w:val="superscript"/>
    </w:rPr>
  </w:style>
  <w:style w:type="paragraph" w:styleId="Revzia">
    <w:name w:val="Revision"/>
    <w:hidden/>
    <w:uiPriority w:val="99"/>
    <w:semiHidden/>
    <w:rsid w:val="003E5616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0B2A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0B2A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B2AE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B2A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B2AE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B2A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B2A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B2A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B2A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fondy.go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42EBB-B584-4016-B591-5DE0B965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Kerestešová, Daniela</dc:creator>
  <cp:keywords/>
  <dc:description/>
  <cp:lastModifiedBy>Dobroň, Michal</cp:lastModifiedBy>
  <cp:revision>6</cp:revision>
  <dcterms:created xsi:type="dcterms:W3CDTF">2025-01-20T12:27:00Z</dcterms:created>
  <dcterms:modified xsi:type="dcterms:W3CDTF">2025-01-23T11:10:00Z</dcterms:modified>
</cp:coreProperties>
</file>