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075F" w14:textId="27862EBC" w:rsidR="004E46F1" w:rsidRPr="00011B14" w:rsidRDefault="009A0EFD" w:rsidP="00890E6C">
      <w:pPr>
        <w:jc w:val="both"/>
      </w:pPr>
      <w:r w:rsidRPr="00011B14">
        <w:t>Opatrenie P</w:t>
      </w:r>
      <w:r w:rsidR="00966757" w:rsidRPr="00011B14">
        <w:t>SK</w:t>
      </w:r>
      <w:r w:rsidR="004E46F1" w:rsidRPr="00011B14">
        <w:t>:</w:t>
      </w:r>
      <w:r w:rsidR="00380C43" w:rsidRPr="00011B14">
        <w:t xml:space="preserve"> </w:t>
      </w:r>
      <w:r w:rsidR="00C16E4E" w:rsidRPr="00011B14">
        <w:rPr>
          <w:b/>
        </w:rPr>
        <w:t>2.6.1 Podpora vybraných aktivít v oblas</w:t>
      </w:r>
      <w:r w:rsidR="00C36DD2" w:rsidRPr="00011B14">
        <w:rPr>
          <w:b/>
        </w:rPr>
        <w:t>ti predchádzania vzniku odpadov</w:t>
      </w:r>
    </w:p>
    <w:p w14:paraId="22CB248D" w14:textId="66460BEA" w:rsidR="009A0EFD" w:rsidRPr="00011B14" w:rsidRDefault="009A0EFD" w:rsidP="00DB2F0B">
      <w:pPr>
        <w:jc w:val="both"/>
      </w:pP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7796"/>
      </w:tblGrid>
      <w:tr w:rsidR="00335B59" w:rsidRPr="00011B14" w14:paraId="4DC79EE9" w14:textId="77777777" w:rsidTr="002F65C6">
        <w:trPr>
          <w:trHeight w:val="1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36501065" w14:textId="0777C31A" w:rsidR="00335B59" w:rsidRPr="00011B14" w:rsidRDefault="00335B59" w:rsidP="00516A9B">
            <w:pPr>
              <w:spacing w:before="120" w:after="120"/>
              <w:rPr>
                <w:rFonts w:ascii="Arial Narrow" w:hAnsi="Arial Narrow"/>
                <w:color w:val="FFFFFF" w:themeColor="background1"/>
                <w:szCs w:val="22"/>
                <w:lang w:val="sk-SK"/>
              </w:rPr>
            </w:pPr>
          </w:p>
        </w:tc>
        <w:tc>
          <w:tcPr>
            <w:tcW w:w="7796" w:type="dxa"/>
            <w:shd w:val="clear" w:color="auto" w:fill="538135" w:themeFill="accent6" w:themeFillShade="BF"/>
            <w:vAlign w:val="center"/>
          </w:tcPr>
          <w:p w14:paraId="3891D5E6" w14:textId="77777777" w:rsidR="00335B59" w:rsidRPr="00011B14" w:rsidRDefault="00335B59" w:rsidP="00516A9B">
            <w:pPr>
              <w:rPr>
                <w:rFonts w:ascii="Arial Narrow" w:hAnsi="Arial Narrow"/>
                <w:color w:val="FFFFFF" w:themeColor="background1"/>
                <w:szCs w:val="22"/>
                <w:lang w:val="sk-SK"/>
              </w:rPr>
            </w:pPr>
            <w:r w:rsidRPr="00011B14">
              <w:rPr>
                <w:rFonts w:ascii="Arial Narrow" w:hAnsi="Arial Narrow"/>
                <w:color w:val="FFFFFF" w:themeColor="background1"/>
                <w:szCs w:val="22"/>
                <w:lang w:val="sk-SK"/>
              </w:rPr>
              <w:t>Popis PPP</w:t>
            </w:r>
          </w:p>
        </w:tc>
      </w:tr>
      <w:tr w:rsidR="0096750F" w:rsidRPr="00011B14" w14:paraId="00A659DD" w14:textId="77777777" w:rsidTr="00D310CB">
        <w:tc>
          <w:tcPr>
            <w:tcW w:w="1413" w:type="dxa"/>
            <w:shd w:val="clear" w:color="auto" w:fill="70AD47" w:themeFill="accent6"/>
            <w:vAlign w:val="center"/>
          </w:tcPr>
          <w:p w14:paraId="1972CCE9" w14:textId="79BA0D66" w:rsidR="0096750F" w:rsidRPr="00011B14" w:rsidRDefault="0096750F" w:rsidP="00516A9B">
            <w:pPr>
              <w:rPr>
                <w:rFonts w:ascii="Arial Narrow" w:hAnsi="Arial Narrow"/>
                <w:b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Cs w:val="22"/>
              </w:rPr>
              <w:t>Alokácia</w:t>
            </w:r>
            <w:proofErr w:type="spellEnd"/>
          </w:p>
        </w:tc>
        <w:tc>
          <w:tcPr>
            <w:tcW w:w="7796" w:type="dxa"/>
            <w:vAlign w:val="center"/>
          </w:tcPr>
          <w:p w14:paraId="09B865CD" w14:textId="77777777" w:rsidR="0096750F" w:rsidRPr="00011B14" w:rsidRDefault="0096750F" w:rsidP="0096750F">
            <w:pPr>
              <w:spacing w:before="120" w:after="120"/>
              <w:jc w:val="both"/>
              <w:rPr>
                <w:rFonts w:ascii="Arial Narrow" w:eastAsiaTheme="minorHAnsi" w:hAnsi="Arial Narrow" w:cs="Calibri"/>
                <w:b/>
                <w:szCs w:val="22"/>
                <w:lang w:val="sk-SK" w:eastAsia="sk-SK"/>
              </w:rPr>
            </w:pPr>
            <w:r w:rsidRPr="00011B14">
              <w:rPr>
                <w:rFonts w:ascii="Arial Narrow" w:eastAsiaTheme="minorHAnsi" w:hAnsi="Arial Narrow" w:cs="Calibri"/>
                <w:b/>
                <w:szCs w:val="22"/>
                <w:lang w:val="sk-SK" w:eastAsia="sk-SK"/>
              </w:rPr>
              <w:t>4 800 000,00 EUR / EFRR</w:t>
            </w:r>
          </w:p>
          <w:p w14:paraId="642BD564" w14:textId="77777777" w:rsidR="0096750F" w:rsidRPr="00011B14" w:rsidRDefault="0096750F" w:rsidP="000C6266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335B59" w:rsidRPr="00011B14" w14:paraId="0594320F" w14:textId="77777777" w:rsidTr="00D310CB">
        <w:tc>
          <w:tcPr>
            <w:tcW w:w="1413" w:type="dxa"/>
            <w:shd w:val="clear" w:color="auto" w:fill="70AD47" w:themeFill="accent6"/>
            <w:vAlign w:val="center"/>
          </w:tcPr>
          <w:p w14:paraId="692BA39A" w14:textId="77777777" w:rsidR="00335B59" w:rsidRPr="00011B14" w:rsidRDefault="00335B59" w:rsidP="00516A9B">
            <w:pPr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Podmienka oprávnenosti aktivít projektu </w:t>
            </w:r>
          </w:p>
        </w:tc>
        <w:tc>
          <w:tcPr>
            <w:tcW w:w="7796" w:type="dxa"/>
            <w:vAlign w:val="center"/>
          </w:tcPr>
          <w:p w14:paraId="4953FB86" w14:textId="75CA4FA3" w:rsidR="00C16E4E" w:rsidRPr="0096750F" w:rsidRDefault="00526A1C" w:rsidP="00C16E4E">
            <w:pPr>
              <w:pStyle w:val="xmsonormal"/>
              <w:spacing w:after="120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Predmetom</w:t>
            </w:r>
            <w:r w:rsidRPr="00011B14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C16E4E" w:rsidRPr="00011B14">
              <w:rPr>
                <w:rFonts w:ascii="Arial Narrow" w:hAnsi="Arial Narrow"/>
                <w:b/>
                <w:lang w:val="sk-SK"/>
              </w:rPr>
              <w:t>výzvy je</w:t>
            </w:r>
            <w:r>
              <w:rPr>
                <w:rFonts w:ascii="Arial Narrow" w:hAnsi="Arial Narrow"/>
                <w:b/>
                <w:lang w:val="sk-SK"/>
              </w:rPr>
              <w:t xml:space="preserve"> podpora opatrení na</w:t>
            </w:r>
            <w:r w:rsidR="00C16E4E" w:rsidRPr="00011B14">
              <w:rPr>
                <w:rFonts w:ascii="Arial Narrow" w:hAnsi="Arial Narrow"/>
                <w:b/>
                <w:lang w:val="sk-SK"/>
              </w:rPr>
              <w:t xml:space="preserve"> predchádzanie vzniku odpadov</w:t>
            </w:r>
            <w:r>
              <w:rPr>
                <w:rFonts w:ascii="Arial Narrow" w:hAnsi="Arial Narrow"/>
                <w:b/>
                <w:lang w:val="sk-SK"/>
              </w:rPr>
              <w:t xml:space="preserve"> ako najvyššej priority v rámci hierarchie odpadového hospodárstva</w:t>
            </w:r>
            <w:r w:rsidR="00C16E4E" w:rsidRPr="00011B14">
              <w:rPr>
                <w:rFonts w:ascii="Arial Narrow" w:hAnsi="Arial Narrow"/>
                <w:b/>
                <w:lang w:val="sk-SK"/>
              </w:rPr>
              <w:t>.</w:t>
            </w:r>
            <w:r>
              <w:rPr>
                <w:rFonts w:ascii="Arial Narrow" w:hAnsi="Arial Narrow"/>
                <w:b/>
                <w:lang w:val="sk-SK"/>
              </w:rPr>
              <w:t xml:space="preserve"> </w:t>
            </w:r>
            <w:r w:rsidRPr="0096750F">
              <w:rPr>
                <w:rFonts w:ascii="Arial Narrow" w:hAnsi="Arial Narrow"/>
                <w:lang w:val="sk-SK"/>
              </w:rPr>
              <w:t>Cieľom výzvy je znížiť množstvo odpadu prostredníctvom opätovného použitia výrobkov</w:t>
            </w:r>
            <w:r w:rsidR="008177B7" w:rsidRPr="0096750F">
              <w:rPr>
                <w:rFonts w:ascii="Arial Narrow" w:hAnsi="Arial Narrow"/>
                <w:lang w:val="sk-SK"/>
              </w:rPr>
              <w:t>,</w:t>
            </w:r>
            <w:r w:rsidRPr="0096750F">
              <w:rPr>
                <w:rFonts w:ascii="Arial Narrow" w:hAnsi="Arial Narrow"/>
                <w:lang w:val="sk-SK"/>
              </w:rPr>
              <w:t xml:space="preserve"> predĺženia životnosti výrobkov alebo prostredníctvom zníženia množstva obalov</w:t>
            </w:r>
            <w:r w:rsidR="009C0804" w:rsidRPr="0096750F">
              <w:rPr>
                <w:rFonts w:ascii="Arial Narrow" w:hAnsi="Arial Narrow"/>
                <w:lang w:val="sk-SK"/>
              </w:rPr>
              <w:t xml:space="preserve"> a odpadov z obalov.</w:t>
            </w:r>
            <w:r w:rsidRPr="0096750F">
              <w:rPr>
                <w:rFonts w:ascii="Arial Narrow" w:hAnsi="Arial Narrow"/>
                <w:lang w:val="sk-SK"/>
              </w:rPr>
              <w:t xml:space="preserve"> </w:t>
            </w:r>
          </w:p>
          <w:p w14:paraId="687F7CD8" w14:textId="2BDCD540" w:rsidR="00BA31B2" w:rsidRPr="00011B14" w:rsidRDefault="00B37006" w:rsidP="00E8165D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Podporované aktivity - </w:t>
            </w:r>
            <w:r w:rsidR="00890E6C" w:rsidRPr="00011B14">
              <w:rPr>
                <w:rFonts w:ascii="Arial Narrow" w:hAnsi="Arial Narrow"/>
                <w:b/>
                <w:szCs w:val="22"/>
                <w:lang w:val="sk-SK"/>
              </w:rPr>
              <w:t>Hlavné aktivity</w:t>
            </w:r>
            <w:r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 projektu (HAP)</w:t>
            </w:r>
            <w:r w:rsidR="00BA31B2" w:rsidRPr="00011B14">
              <w:rPr>
                <w:rFonts w:ascii="Arial Narrow" w:hAnsi="Arial Narrow"/>
                <w:b/>
                <w:szCs w:val="22"/>
                <w:lang w:val="sk-SK"/>
              </w:rPr>
              <w:t>:</w:t>
            </w:r>
          </w:p>
          <w:p w14:paraId="3A92A4BE" w14:textId="39C0EF16" w:rsidR="00C16E4E" w:rsidRPr="00011B14" w:rsidRDefault="00C16E4E" w:rsidP="00C16E4E">
            <w:pPr>
              <w:spacing w:before="120" w:after="120"/>
              <w:jc w:val="both"/>
              <w:rPr>
                <w:rFonts w:ascii="Arial Narrow" w:hAnsi="Arial Narrow"/>
                <w:lang w:val="sk-SK"/>
              </w:rPr>
            </w:pPr>
            <w:r w:rsidRPr="00011B14">
              <w:rPr>
                <w:rFonts w:ascii="Arial Narrow" w:eastAsiaTheme="minorHAnsi" w:hAnsi="Arial Narrow" w:cs="Calibri"/>
                <w:b/>
                <w:szCs w:val="22"/>
                <w:u w:val="single"/>
                <w:lang w:val="sk-SK" w:eastAsia="sk-SK"/>
              </w:rPr>
              <w:t xml:space="preserve">HAP1 – výstavba nových centier opätovného použitia </w:t>
            </w:r>
            <w:r w:rsidR="007E15D0" w:rsidRPr="00E11077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– </w:t>
            </w:r>
            <w:r w:rsidR="007E15D0" w:rsidRP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zameraných na opätovné použitie výrobkov</w:t>
            </w:r>
            <w:r w:rsidR="007E15D0">
              <w:rPr>
                <w:rFonts w:ascii="Arial Narrow" w:eastAsiaTheme="minorHAnsi" w:hAnsi="Arial Narrow" w:cs="Calibri"/>
                <w:b/>
                <w:szCs w:val="22"/>
                <w:u w:val="single"/>
                <w:lang w:val="sk-SK" w:eastAsia="sk-SK"/>
              </w:rPr>
              <w:t xml:space="preserve">, 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ktorých súčasťou bude centrum opráv a  platforma na opätovné použitie výrobkov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. Prostredníctvom aktivity bude podporené b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udovanie centier opätovného použitia (tzv. RE-USE centrá). Ide o miesta, kde môžu občania priniesť výrobky (predmety), ktoré nie sú odpadom, ktoré sami nevyužívajú, ale stále môžu slúžiť svojmu pôvodnému účelu.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Opätovné použitie je činnosť, pri ktorej sa výrobok alebo časť výrobku, ktorý nie je odpadom, znova použije na ten istý účel, na ktorý bol určený (§ 3 ods. 12 zákona o odpadoch).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Súčasťou tejto aktivity 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>bude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aj a vytváranie (online)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platforiem a zriadenie</w:t>
            </w:r>
            <w:r w:rsidR="007E15D0" w:rsidRPr="003F17E3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akreditovaných centier a sietí opráv výrobkov (predmetov), ktoré nie sú odpadom za účelom</w:t>
            </w:r>
            <w:r w:rsidR="007E15D0">
              <w:rPr>
                <w:rFonts w:ascii="Arial Narrow" w:eastAsiaTheme="minorHAnsi" w:hAnsi="Arial Narrow" w:cs="Calibri"/>
                <w:szCs w:val="22"/>
                <w:lang w:val="sk-SK" w:eastAsia="sk-SK"/>
              </w:rPr>
              <w:t xml:space="preserve"> predĺženia životnosti výrobkov</w:t>
            </w:r>
            <w:r w:rsidRPr="00011B14">
              <w:rPr>
                <w:rFonts w:ascii="Arial Narrow" w:hAnsi="Arial Narrow"/>
                <w:lang w:val="sk-SK"/>
              </w:rPr>
              <w:t>.</w:t>
            </w:r>
          </w:p>
          <w:p w14:paraId="671E1B19" w14:textId="77777777" w:rsidR="007E15D0" w:rsidRPr="00011B14" w:rsidRDefault="007E15D0" w:rsidP="007E15D0">
            <w:pPr>
              <w:spacing w:before="120" w:after="120"/>
              <w:jc w:val="both"/>
              <w:rPr>
                <w:rFonts w:ascii="Arial Narrow" w:hAnsi="Arial Narrow"/>
                <w:lang w:val="sk-SK"/>
              </w:rPr>
            </w:pPr>
            <w:r w:rsidRPr="00011B14">
              <w:rPr>
                <w:rFonts w:ascii="Arial Narrow" w:hAnsi="Arial Narrow"/>
                <w:b/>
                <w:u w:val="single"/>
                <w:lang w:val="sk-SK"/>
              </w:rPr>
              <w:t>HAP</w:t>
            </w:r>
            <w:r>
              <w:rPr>
                <w:rFonts w:ascii="Arial Narrow" w:hAnsi="Arial Narrow"/>
                <w:b/>
                <w:u w:val="single"/>
                <w:lang w:val="sk-SK"/>
              </w:rPr>
              <w:t>2</w:t>
            </w:r>
            <w:r w:rsidRPr="00011B14">
              <w:rPr>
                <w:rFonts w:ascii="Arial Narrow" w:hAnsi="Arial Narrow"/>
                <w:u w:val="single"/>
                <w:lang w:val="sk-SK"/>
              </w:rPr>
              <w:t xml:space="preserve"> - </w:t>
            </w:r>
            <w:r w:rsidRPr="00011B14">
              <w:rPr>
                <w:rFonts w:ascii="Arial Narrow" w:eastAsiaTheme="minorHAnsi" w:hAnsi="Arial Narrow" w:cs="Calibri"/>
                <w:b/>
                <w:szCs w:val="22"/>
                <w:u w:val="single"/>
                <w:lang w:val="sk-SK" w:eastAsia="sk-SK"/>
              </w:rPr>
              <w:t>zavádzanie a správa lokálnych zálohových systémov a systémov opätovného plnenia</w:t>
            </w:r>
            <w:r>
              <w:rPr>
                <w:rFonts w:ascii="Arial Narrow" w:eastAsiaTheme="minorHAnsi" w:hAnsi="Arial Narrow" w:cs="Calibri"/>
                <w:b/>
                <w:szCs w:val="22"/>
                <w:u w:val="single"/>
                <w:lang w:val="sk-SK" w:eastAsia="sk-SK"/>
              </w:rPr>
              <w:t>.</w:t>
            </w:r>
            <w:r w:rsidRPr="00011B14" w:rsidDel="006916C8">
              <w:rPr>
                <w:rFonts w:ascii="Arial Narrow" w:eastAsiaTheme="minorHAnsi" w:hAnsi="Arial Narrow" w:cs="Calibri"/>
                <w:b/>
                <w:szCs w:val="22"/>
                <w:lang w:val="sk-SK" w:eastAsia="sk-SK"/>
              </w:rPr>
              <w:t xml:space="preserve"> </w:t>
            </w:r>
            <w:r w:rsidRPr="00011B14">
              <w:rPr>
                <w:rFonts w:ascii="Arial Narrow" w:hAnsi="Arial Narrow"/>
                <w:b/>
                <w:lang w:val="sk-SK"/>
              </w:rPr>
              <w:t xml:space="preserve"> </w:t>
            </w:r>
            <w:r w:rsidRPr="00011B14">
              <w:rPr>
                <w:rFonts w:ascii="Arial Narrow" w:hAnsi="Arial Narrow"/>
                <w:lang w:val="sk-SK"/>
              </w:rPr>
              <w:t>Vytvorenie a správa zálohových systémov, ktoré zabezpečia podporu zvýšenia podielu opakovane použiteľných obalov (</w:t>
            </w:r>
            <w:r>
              <w:rPr>
                <w:rFonts w:ascii="Arial Narrow" w:hAnsi="Arial Narrow"/>
                <w:lang w:val="sk-SK"/>
              </w:rPr>
              <w:t xml:space="preserve">podľa aktuálne platného </w:t>
            </w:r>
            <w:r w:rsidRPr="00011B14">
              <w:rPr>
                <w:rFonts w:ascii="Arial Narrow" w:hAnsi="Arial Narrow"/>
                <w:lang w:val="sk-SK"/>
              </w:rPr>
              <w:t>Program</w:t>
            </w:r>
            <w:r>
              <w:rPr>
                <w:rFonts w:ascii="Arial Narrow" w:hAnsi="Arial Narrow"/>
                <w:lang w:val="sk-SK"/>
              </w:rPr>
              <w:t>u</w:t>
            </w:r>
            <w:r w:rsidRPr="00011B14">
              <w:rPr>
                <w:rFonts w:ascii="Arial Narrow" w:hAnsi="Arial Narrow"/>
                <w:lang w:val="sk-SK"/>
              </w:rPr>
              <w:t xml:space="preserve"> odpadového hospodárstva Slovenskej republiky).</w:t>
            </w:r>
          </w:p>
          <w:p w14:paraId="77EB4583" w14:textId="2167B025" w:rsidR="0071797A" w:rsidRDefault="0071797A" w:rsidP="0071797A">
            <w:pPr>
              <w:spacing w:before="120" w:after="120"/>
              <w:jc w:val="both"/>
              <w:rPr>
                <w:rFonts w:ascii="Arial Narrow" w:eastAsiaTheme="minorHAnsi" w:hAnsi="Arial Narrow" w:cs="Calibri"/>
                <w:szCs w:val="22"/>
                <w:lang w:val="sk-SK" w:eastAsia="sk-SK"/>
              </w:rPr>
            </w:pPr>
            <w:r w:rsidRPr="00011B14">
              <w:rPr>
                <w:rFonts w:ascii="Arial Narrow" w:hAnsi="Arial Narrow"/>
                <w:b/>
                <w:u w:val="single"/>
                <w:lang w:val="sk-SK"/>
              </w:rPr>
              <w:t>HAP</w:t>
            </w:r>
            <w:r w:rsidR="007721FB">
              <w:rPr>
                <w:rFonts w:ascii="Arial Narrow" w:hAnsi="Arial Narrow"/>
                <w:b/>
                <w:u w:val="single"/>
                <w:lang w:val="sk-SK"/>
              </w:rPr>
              <w:t>3</w:t>
            </w:r>
            <w:r w:rsidRPr="00011B14">
              <w:rPr>
                <w:rFonts w:ascii="Arial Narrow" w:hAnsi="Arial Narrow"/>
                <w:b/>
                <w:u w:val="single"/>
                <w:lang w:val="sk-SK"/>
              </w:rPr>
              <w:t xml:space="preserve"> – podpora obalových technológií znižujúcich produkciu obalov</w:t>
            </w:r>
            <w:r w:rsidRPr="00011B14">
              <w:rPr>
                <w:rFonts w:ascii="Arial Narrow" w:hAnsi="Arial Narrow"/>
                <w:b/>
                <w:color w:val="FF0000"/>
                <w:u w:val="single"/>
                <w:lang w:val="sk-SK"/>
              </w:rPr>
              <w:t>,</w:t>
            </w:r>
            <w:r w:rsidRPr="00011B14">
              <w:rPr>
                <w:rFonts w:ascii="Arial Narrow" w:hAnsi="Arial Narrow"/>
                <w:lang w:val="sk-SK"/>
              </w:rPr>
              <w:t xml:space="preserve"> </w:t>
            </w:r>
            <w:r w:rsidR="00F9284A" w:rsidRPr="00173139">
              <w:rPr>
                <w:rFonts w:ascii="Arial Narrow" w:hAnsi="Arial Narrow"/>
                <w:lang w:val="sk-SK"/>
              </w:rPr>
              <w:t xml:space="preserve">Súčasťou aktivity je podpora obalových technológií znižujúcich produkciu obalov (a následne odpadov z obalov), ku ktorým patria technológie produkujúce obaly opakovane použiteľné, s recyklovanou zložkou, recyklovateľné alebo </w:t>
            </w:r>
            <w:proofErr w:type="spellStart"/>
            <w:r w:rsidR="00F9284A" w:rsidRPr="00173139">
              <w:rPr>
                <w:rFonts w:ascii="Arial Narrow" w:hAnsi="Arial Narrow"/>
                <w:lang w:val="sk-SK"/>
              </w:rPr>
              <w:t>biodegradovateľné</w:t>
            </w:r>
            <w:proofErr w:type="spellEnd"/>
            <w:r w:rsidR="00F9284A" w:rsidRPr="00173139">
              <w:rPr>
                <w:rFonts w:ascii="Arial Narrow" w:hAnsi="Arial Narrow"/>
                <w:lang w:val="sk-SK"/>
              </w:rPr>
              <w:t xml:space="preserve"> a baliace technológie redukujúce používané obaly</w:t>
            </w:r>
          </w:p>
          <w:p w14:paraId="1DD66EBE" w14:textId="199A9B2B" w:rsidR="00890E6C" w:rsidRPr="00011B14" w:rsidRDefault="00890E6C" w:rsidP="00890E6C">
            <w:pPr>
              <w:spacing w:before="120" w:after="120"/>
              <w:jc w:val="both"/>
              <w:rPr>
                <w:rFonts w:ascii="Arial Narrow" w:hAnsi="Arial Narrow"/>
                <w:lang w:val="sk-SK"/>
              </w:rPr>
            </w:pPr>
            <w:r w:rsidRPr="00011B14">
              <w:rPr>
                <w:rFonts w:ascii="Arial Narrow" w:hAnsi="Arial Narrow"/>
                <w:lang w:val="sk-SK"/>
              </w:rPr>
              <w:t>Predložené projekty musia byť v súlade s</w:t>
            </w:r>
            <w:r w:rsidR="004F60B2" w:rsidRPr="00011B14">
              <w:rPr>
                <w:rFonts w:ascii="Arial Narrow" w:hAnsi="Arial Narrow"/>
                <w:lang w:val="sk-SK"/>
              </w:rPr>
              <w:t xml:space="preserve"> aktuálne platným </w:t>
            </w:r>
            <w:r w:rsidR="0071797A" w:rsidRPr="00011B14">
              <w:rPr>
                <w:rFonts w:ascii="Arial Narrow" w:hAnsi="Arial Narrow"/>
                <w:lang w:val="sk-SK"/>
              </w:rPr>
              <w:t>Programom odpadového hospodárstva SR a s Programom predchádzania vzniku odpadu SR.</w:t>
            </w:r>
          </w:p>
          <w:p w14:paraId="2895F620" w14:textId="791D8635" w:rsidR="0071797A" w:rsidRPr="00956098" w:rsidRDefault="0071797A" w:rsidP="0071797A">
            <w:pPr>
              <w:spacing w:before="120" w:after="120"/>
              <w:jc w:val="both"/>
              <w:rPr>
                <w:rFonts w:ascii="Arial Narrow" w:eastAsia="Calibri" w:hAnsi="Arial Narrow" w:cs="Arial"/>
                <w:color w:val="000000"/>
                <w:u w:val="single"/>
                <w:lang w:val="sk-SK"/>
              </w:rPr>
            </w:pPr>
            <w:r w:rsidRPr="00956098">
              <w:rPr>
                <w:rFonts w:ascii="Arial Narrow" w:eastAsia="Calibri" w:hAnsi="Arial Narrow" w:cs="Arial"/>
                <w:color w:val="000000"/>
                <w:u w:val="single"/>
                <w:lang w:val="sk-SK"/>
              </w:rPr>
              <w:t>Podrobná špecifikácia aktivít bude predmetom samotnej výzvy.</w:t>
            </w:r>
          </w:p>
          <w:p w14:paraId="4B8E1B17" w14:textId="430B47F6" w:rsidR="001555EF" w:rsidRPr="008A287F" w:rsidRDefault="001555EF" w:rsidP="001555EF">
            <w:pPr>
              <w:pStyle w:val="Textkomentra"/>
              <w:rPr>
                <w:rFonts w:ascii="Arial Narrow" w:hAnsi="Arial Narrow"/>
                <w:lang w:val="sk-SK"/>
              </w:rPr>
            </w:pPr>
            <w:r w:rsidRPr="008A287F">
              <w:rPr>
                <w:rFonts w:ascii="Arial Narrow" w:hAnsi="Arial Narrow"/>
                <w:lang w:val="sk-SK"/>
              </w:rPr>
              <w:t>V prípade ak podpora bude predstavovať štátnu/minimálnu pomoc, uplatnia sa vo výzve príslušné pravidlá štátnej/minimálnej pomoci.</w:t>
            </w:r>
          </w:p>
          <w:p w14:paraId="25B21A39" w14:textId="77777777" w:rsidR="001555EF" w:rsidRPr="008A287F" w:rsidRDefault="001555EF" w:rsidP="001555EF">
            <w:pPr>
              <w:pStyle w:val="Textkomentra"/>
              <w:rPr>
                <w:rFonts w:ascii="Arial Narrow" w:hAnsi="Arial Narrow"/>
                <w:lang w:val="sk-SK"/>
              </w:rPr>
            </w:pPr>
          </w:p>
          <w:p w14:paraId="31F7AC27" w14:textId="5C30A933" w:rsidR="00011B14" w:rsidRPr="00011B14" w:rsidRDefault="001555EF" w:rsidP="00B34B41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  <w:lang w:val="sk-SK"/>
              </w:rPr>
            </w:pPr>
            <w:r w:rsidRPr="008A287F">
              <w:rPr>
                <w:rFonts w:ascii="Arial Narrow" w:hAnsi="Arial Narrow"/>
                <w:lang w:val="sk-SK"/>
              </w:rPr>
              <w:t xml:space="preserve">Vzhľadom na obmedzenú finančnú alokáciu, </w:t>
            </w:r>
            <w:r>
              <w:rPr>
                <w:rFonts w:ascii="Arial Narrow" w:hAnsi="Arial Narrow"/>
                <w:lang w:val="sk-SK"/>
              </w:rPr>
              <w:t xml:space="preserve">si </w:t>
            </w:r>
            <w:r w:rsidRPr="008A287F">
              <w:rPr>
                <w:rFonts w:ascii="Arial Narrow" w:hAnsi="Arial Narrow"/>
                <w:lang w:val="sk-SK"/>
              </w:rPr>
              <w:t xml:space="preserve">SO vyhradzuje právo </w:t>
            </w:r>
            <w:r>
              <w:rPr>
                <w:rFonts w:ascii="Arial Narrow" w:hAnsi="Arial Narrow"/>
                <w:lang w:val="sk-SK"/>
              </w:rPr>
              <w:t>obmedziť oprávnené aktivity</w:t>
            </w:r>
            <w:r w:rsidR="00956098">
              <w:rPr>
                <w:rFonts w:ascii="Arial Narrow" w:hAnsi="Arial Narrow"/>
                <w:lang w:val="sk-SK"/>
              </w:rPr>
              <w:t xml:space="preserve"> v rámci v</w:t>
            </w:r>
            <w:r w:rsidRPr="008A287F">
              <w:rPr>
                <w:rFonts w:ascii="Arial Narrow" w:hAnsi="Arial Narrow"/>
                <w:lang w:val="sk-SK"/>
              </w:rPr>
              <w:t xml:space="preserve">ýzvy.  </w:t>
            </w:r>
          </w:p>
        </w:tc>
      </w:tr>
      <w:tr w:rsidR="00D310CB" w:rsidRPr="00011B14" w14:paraId="04B600B9" w14:textId="77777777" w:rsidTr="00D310CB">
        <w:tc>
          <w:tcPr>
            <w:tcW w:w="1413" w:type="dxa"/>
            <w:shd w:val="clear" w:color="auto" w:fill="70AD47" w:themeFill="accent6"/>
            <w:vAlign w:val="center"/>
          </w:tcPr>
          <w:p w14:paraId="60EB46A5" w14:textId="47901EEE" w:rsidR="00D310CB" w:rsidRPr="00011B14" w:rsidRDefault="00D310CB" w:rsidP="00D310CB">
            <w:pPr>
              <w:spacing w:before="120" w:after="120"/>
              <w:jc w:val="both"/>
              <w:rPr>
                <w:rFonts w:ascii="Arial Narrow" w:hAnsi="Arial Narrow"/>
                <w:b/>
                <w:lang w:val="sk-SK"/>
              </w:rPr>
            </w:pPr>
            <w:r w:rsidRPr="00011B14">
              <w:rPr>
                <w:rFonts w:ascii="Arial Narrow" w:hAnsi="Arial Narrow"/>
                <w:b/>
                <w:lang w:val="sk-SK"/>
              </w:rPr>
              <w:t>Oprávnen</w:t>
            </w:r>
            <w:r w:rsidR="00205A0A">
              <w:rPr>
                <w:rFonts w:ascii="Arial Narrow" w:hAnsi="Arial Narrow"/>
                <w:b/>
                <w:lang w:val="sk-SK"/>
              </w:rPr>
              <w:t>ý</w:t>
            </w:r>
            <w:r w:rsidRPr="00011B14">
              <w:rPr>
                <w:rFonts w:ascii="Arial Narrow" w:hAnsi="Arial Narrow"/>
                <w:b/>
                <w:lang w:val="sk-SK"/>
              </w:rPr>
              <w:t xml:space="preserve"> žiadate</w:t>
            </w:r>
            <w:r w:rsidR="00205A0A">
              <w:rPr>
                <w:rFonts w:ascii="Arial Narrow" w:hAnsi="Arial Narrow"/>
                <w:b/>
                <w:lang w:val="sk-SK"/>
              </w:rPr>
              <w:t>ľ</w:t>
            </w:r>
          </w:p>
          <w:p w14:paraId="70690DCF" w14:textId="77777777" w:rsidR="00D310CB" w:rsidRPr="00011B14" w:rsidRDefault="00D310CB" w:rsidP="00516A9B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5667527" w14:textId="77777777" w:rsidR="00D310CB" w:rsidRPr="00956098" w:rsidRDefault="00D310CB" w:rsidP="00956098">
            <w:pPr>
              <w:spacing w:after="60"/>
              <w:jc w:val="both"/>
              <w:rPr>
                <w:rFonts w:ascii="Arial Narrow" w:hAnsi="Arial Narrow"/>
                <w:lang w:val="sk-SK"/>
              </w:rPr>
            </w:pPr>
            <w:r w:rsidRPr="00956098">
              <w:rPr>
                <w:rFonts w:ascii="Arial Narrow" w:hAnsi="Arial Narrow"/>
                <w:lang w:val="sk-SK"/>
              </w:rPr>
              <w:t>verejný a súkromný sektor</w:t>
            </w:r>
          </w:p>
          <w:p w14:paraId="0943AFA5" w14:textId="43944EC6" w:rsidR="00D310CB" w:rsidRPr="00011B14" w:rsidRDefault="00B34B41" w:rsidP="00B34B41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  <w:r w:rsidRPr="008A287F">
              <w:rPr>
                <w:rFonts w:ascii="Arial Narrow" w:hAnsi="Arial Narrow"/>
                <w:lang w:val="sk-SK"/>
              </w:rPr>
              <w:t xml:space="preserve">Vzhľadom na obmedzenú finančnú alokáciu, </w:t>
            </w:r>
            <w:r>
              <w:rPr>
                <w:rFonts w:ascii="Arial Narrow" w:hAnsi="Arial Narrow"/>
                <w:lang w:val="sk-SK"/>
              </w:rPr>
              <w:t xml:space="preserve">si </w:t>
            </w:r>
            <w:r w:rsidRPr="008A287F">
              <w:rPr>
                <w:rFonts w:ascii="Arial Narrow" w:hAnsi="Arial Narrow"/>
                <w:lang w:val="sk-SK"/>
              </w:rPr>
              <w:t xml:space="preserve">SO vyhradzuje právo </w:t>
            </w:r>
            <w:r>
              <w:rPr>
                <w:rFonts w:ascii="Arial Narrow" w:hAnsi="Arial Narrow"/>
                <w:lang w:val="sk-SK"/>
              </w:rPr>
              <w:t xml:space="preserve">obmedziť okruh oprávnených žiadateľov </w:t>
            </w:r>
            <w:r w:rsidRPr="008A287F">
              <w:rPr>
                <w:rFonts w:ascii="Arial Narrow" w:hAnsi="Arial Narrow"/>
                <w:lang w:val="sk-SK"/>
              </w:rPr>
              <w:t>(napr. vo vzťahu k</w:t>
            </w:r>
            <w:r>
              <w:rPr>
                <w:rFonts w:ascii="Arial Narrow" w:hAnsi="Arial Narrow"/>
                <w:lang w:val="sk-SK"/>
              </w:rPr>
              <w:t xml:space="preserve"> </w:t>
            </w:r>
            <w:r w:rsidRPr="008A287F">
              <w:rPr>
                <w:rFonts w:ascii="Arial Narrow" w:hAnsi="Arial Narrow"/>
                <w:lang w:val="sk-SK"/>
              </w:rPr>
              <w:t>zálohový</w:t>
            </w:r>
            <w:r>
              <w:rPr>
                <w:rFonts w:ascii="Arial Narrow" w:hAnsi="Arial Narrow"/>
                <w:lang w:val="sk-SK"/>
              </w:rPr>
              <w:t>m</w:t>
            </w:r>
            <w:r w:rsidRPr="008A287F">
              <w:rPr>
                <w:rFonts w:ascii="Arial Narrow" w:hAnsi="Arial Narrow"/>
                <w:lang w:val="sk-SK"/>
              </w:rPr>
              <w:t xml:space="preserve"> systémo</w:t>
            </w:r>
            <w:r>
              <w:rPr>
                <w:rFonts w:ascii="Arial Narrow" w:hAnsi="Arial Narrow"/>
                <w:lang w:val="sk-SK"/>
              </w:rPr>
              <w:t>m</w:t>
            </w:r>
            <w:r w:rsidRPr="008A287F">
              <w:rPr>
                <w:rFonts w:ascii="Arial Narrow" w:hAnsi="Arial Narrow"/>
                <w:lang w:val="sk-SK"/>
              </w:rPr>
              <w:t xml:space="preserve"> môže byť podpora viazaná na </w:t>
            </w:r>
            <w:r>
              <w:rPr>
                <w:rFonts w:ascii="Arial Narrow" w:hAnsi="Arial Narrow"/>
                <w:lang w:val="sk-SK"/>
              </w:rPr>
              <w:t>konkrétny okruh žiadateľov</w:t>
            </w:r>
            <w:r w:rsidRPr="008A287F">
              <w:rPr>
                <w:rFonts w:ascii="Arial Narrow" w:hAnsi="Arial Narrow"/>
                <w:lang w:val="sk-SK"/>
              </w:rPr>
              <w:t xml:space="preserve">).  </w:t>
            </w:r>
          </w:p>
        </w:tc>
      </w:tr>
      <w:tr w:rsidR="00D310CB" w:rsidRPr="00011B14" w14:paraId="6A50BC06" w14:textId="77777777" w:rsidTr="00D310CB">
        <w:tc>
          <w:tcPr>
            <w:tcW w:w="1413" w:type="dxa"/>
            <w:shd w:val="clear" w:color="auto" w:fill="70AD47" w:themeFill="accent6"/>
            <w:vAlign w:val="center"/>
          </w:tcPr>
          <w:p w14:paraId="7084C6C7" w14:textId="272AE2D2" w:rsidR="00D310CB" w:rsidRPr="00011B14" w:rsidRDefault="00D310CB" w:rsidP="00205A0A">
            <w:pPr>
              <w:rPr>
                <w:rFonts w:ascii="Arial Narrow" w:hAnsi="Arial Narrow"/>
                <w:b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Cs w:val="22"/>
              </w:rPr>
              <w:t>Merateľný</w:t>
            </w:r>
            <w:proofErr w:type="spellEnd"/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2"/>
              </w:rPr>
              <w:t>ukazovateľ</w:t>
            </w:r>
            <w:proofErr w:type="spellEnd"/>
            <w:r>
              <w:rPr>
                <w:rFonts w:ascii="Arial Narrow" w:hAnsi="Arial Narrow"/>
                <w:b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zCs w:val="22"/>
              </w:rPr>
              <w:t>výstup</w:t>
            </w:r>
            <w:proofErr w:type="spellEnd"/>
            <w:r w:rsidR="0096750F">
              <w:rPr>
                <w:rFonts w:ascii="Arial Narrow" w:hAnsi="Arial Narrow"/>
                <w:b/>
                <w:szCs w:val="22"/>
              </w:rPr>
              <w:t>)</w:t>
            </w:r>
          </w:p>
        </w:tc>
        <w:tc>
          <w:tcPr>
            <w:tcW w:w="7796" w:type="dxa"/>
            <w:vAlign w:val="center"/>
          </w:tcPr>
          <w:p w14:paraId="2675A627" w14:textId="77777777" w:rsidR="00D310CB" w:rsidRPr="00BC28D3" w:rsidRDefault="00D310CB" w:rsidP="00D310CB">
            <w:pPr>
              <w:spacing w:before="120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 xml:space="preserve">Novovybudovaná kapacita na predchádzanie vzniku odpadov  </w:t>
            </w:r>
            <w:r w:rsidRPr="00BC28D3">
              <w:rPr>
                <w:rFonts w:ascii="Arial Narrow" w:hAnsi="Arial Narrow"/>
                <w:lang w:val="sk-SK"/>
              </w:rPr>
              <w:t xml:space="preserve">(MJ: </w:t>
            </w:r>
            <w:r>
              <w:rPr>
                <w:rFonts w:ascii="Arial Narrow" w:hAnsi="Arial Narrow"/>
                <w:lang w:val="sk-SK"/>
              </w:rPr>
              <w:t>t/rok</w:t>
            </w:r>
            <w:r w:rsidRPr="00BC28D3">
              <w:rPr>
                <w:rFonts w:ascii="Arial Narrow" w:hAnsi="Arial Narrow"/>
                <w:lang w:val="sk-SK"/>
              </w:rPr>
              <w:t>)</w:t>
            </w:r>
          </w:p>
          <w:p w14:paraId="1E04F94F" w14:textId="77777777" w:rsidR="00D310CB" w:rsidRDefault="00D310CB" w:rsidP="000C6266">
            <w:pPr>
              <w:spacing w:before="120" w:after="120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Merateľný ukazovateľ výstupu je jednotný pre všetky 3 hlavné aktivity projektu. </w:t>
            </w:r>
          </w:p>
          <w:p w14:paraId="30CAACB7" w14:textId="7AED19C5" w:rsidR="00D77625" w:rsidRPr="00956098" w:rsidRDefault="00D77625" w:rsidP="000C6266">
            <w:pPr>
              <w:spacing w:before="120" w:after="120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Ďalšie merateľné ukazovatele </w:t>
            </w:r>
            <w:r w:rsidR="00944B41">
              <w:rPr>
                <w:rFonts w:ascii="Arial Narrow" w:hAnsi="Arial Narrow"/>
                <w:lang w:val="sk-SK"/>
              </w:rPr>
              <w:t>(</w:t>
            </w:r>
            <w:r w:rsidR="00FD1385">
              <w:rPr>
                <w:rFonts w:ascii="Arial Narrow" w:hAnsi="Arial Narrow"/>
                <w:lang w:val="sk-SK"/>
              </w:rPr>
              <w:t xml:space="preserve">výsledku) </w:t>
            </w:r>
            <w:r>
              <w:rPr>
                <w:rFonts w:ascii="Arial Narrow" w:hAnsi="Arial Narrow"/>
                <w:lang w:val="sk-SK"/>
              </w:rPr>
              <w:t>budú špecifikované vo výzve.</w:t>
            </w:r>
          </w:p>
        </w:tc>
      </w:tr>
      <w:tr w:rsidR="00D310CB" w:rsidRPr="00011B14" w14:paraId="777BF7B0" w14:textId="77777777" w:rsidTr="002F65C6">
        <w:tc>
          <w:tcPr>
            <w:tcW w:w="1413" w:type="dxa"/>
            <w:shd w:val="clear" w:color="auto" w:fill="70AD47" w:themeFill="accent6"/>
            <w:vAlign w:val="center"/>
          </w:tcPr>
          <w:p w14:paraId="07711681" w14:textId="6DB4AB07" w:rsidR="00D310CB" w:rsidRPr="00011B14" w:rsidRDefault="00956098" w:rsidP="00205A0A">
            <w:pPr>
              <w:rPr>
                <w:rFonts w:ascii="Arial Narrow" w:hAnsi="Arial Narrow"/>
                <w:b/>
                <w:szCs w:val="22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Opráv</w:t>
            </w:r>
            <w:r w:rsidR="00205A0A">
              <w:rPr>
                <w:rFonts w:ascii="Arial Narrow" w:hAnsi="Arial Narrow"/>
                <w:b/>
                <w:szCs w:val="22"/>
                <w:lang w:val="sk-SK"/>
              </w:rPr>
              <w:t>ne</w:t>
            </w: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n</w:t>
            </w:r>
            <w:r w:rsidR="00205A0A">
              <w:rPr>
                <w:rFonts w:ascii="Arial Narrow" w:hAnsi="Arial Narrow"/>
                <w:b/>
                <w:szCs w:val="22"/>
                <w:lang w:val="sk-SK"/>
              </w:rPr>
              <w:t>osť</w:t>
            </w:r>
            <w:r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 výdavk</w:t>
            </w:r>
            <w:r w:rsidR="00205A0A">
              <w:rPr>
                <w:rFonts w:ascii="Arial Narrow" w:hAnsi="Arial Narrow"/>
                <w:b/>
                <w:szCs w:val="22"/>
                <w:lang w:val="sk-SK"/>
              </w:rPr>
              <w:t>ov</w:t>
            </w:r>
            <w:r w:rsidR="00326D40">
              <w:rPr>
                <w:rStyle w:val="Odkaznapoznmkupodiarou"/>
                <w:rFonts w:ascii="Arial Narrow" w:hAnsi="Arial Narrow"/>
                <w:b/>
                <w:szCs w:val="22"/>
                <w:lang w:val="sk-SK"/>
              </w:rPr>
              <w:footnoteReference w:id="1"/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7D2B1D4E" w14:textId="77777777" w:rsidR="00956098" w:rsidRDefault="00956098" w:rsidP="00956098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Oprávnené výdavky – budú bližšie definované vo výzve.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956098" w:rsidRPr="00011B14" w14:paraId="4B0E3CE2" w14:textId="77777777" w:rsidTr="004954C6">
              <w:tc>
                <w:tcPr>
                  <w:tcW w:w="3785" w:type="dxa"/>
                </w:tcPr>
                <w:p w14:paraId="7A10296D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b/>
                      <w:sz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b/>
                      <w:sz w:val="22"/>
                      <w:lang w:val="sk-SK"/>
                    </w:rPr>
                    <w:t>priame výdavky</w:t>
                  </w:r>
                </w:p>
                <w:p w14:paraId="5912309C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b/>
                      <w:sz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b/>
                      <w:sz w:val="22"/>
                      <w:lang w:val="sk-SK"/>
                    </w:rPr>
                    <w:t>reálne vykazovanie výdavkov</w:t>
                  </w:r>
                </w:p>
                <w:p w14:paraId="29DFADCF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sz w:val="22"/>
                      <w:szCs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sz w:val="22"/>
                      <w:lang w:val="sk-SK"/>
                    </w:rPr>
                    <w:t>(skupina výdavkov)</w:t>
                  </w:r>
                </w:p>
              </w:tc>
              <w:tc>
                <w:tcPr>
                  <w:tcW w:w="3785" w:type="dxa"/>
                </w:tcPr>
                <w:p w14:paraId="051BAF93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b/>
                      <w:sz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b/>
                      <w:sz w:val="22"/>
                      <w:lang w:val="sk-SK"/>
                    </w:rPr>
                    <w:t>nepriame výdavky</w:t>
                  </w:r>
                </w:p>
                <w:p w14:paraId="122B57EC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b/>
                      <w:sz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b/>
                      <w:sz w:val="22"/>
                      <w:lang w:val="sk-SK"/>
                    </w:rPr>
                    <w:t>zjednodušené vykazovanie výdavkov</w:t>
                  </w:r>
                </w:p>
                <w:p w14:paraId="23D8B115" w14:textId="77777777" w:rsidR="00956098" w:rsidRPr="005C7CD1" w:rsidRDefault="00956098" w:rsidP="00956098">
                  <w:pPr>
                    <w:pStyle w:val="Bezriadkovania"/>
                    <w:jc w:val="center"/>
                    <w:rPr>
                      <w:rFonts w:ascii="Arial Narrow" w:hAnsi="Arial Narrow"/>
                      <w:sz w:val="22"/>
                      <w:szCs w:val="22"/>
                      <w:lang w:val="sk-SK"/>
                    </w:rPr>
                  </w:pPr>
                  <w:r w:rsidRPr="005C7CD1">
                    <w:rPr>
                      <w:rFonts w:ascii="Arial Narrow" w:hAnsi="Arial Narrow"/>
                      <w:sz w:val="22"/>
                      <w:lang w:val="sk-SK"/>
                    </w:rPr>
                    <w:t>(skupina výdavkov)</w:t>
                  </w:r>
                </w:p>
              </w:tc>
            </w:tr>
            <w:tr w:rsidR="00956098" w:rsidRPr="00011B14" w14:paraId="26846CB5" w14:textId="77777777" w:rsidTr="004954C6">
              <w:tc>
                <w:tcPr>
                  <w:tcW w:w="3785" w:type="dxa"/>
                </w:tcPr>
                <w:p w14:paraId="7C428429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 w:eastAsia="sk-SK"/>
                    </w:rPr>
                  </w:pPr>
                  <w:r w:rsidRPr="00956098">
                    <w:rPr>
                      <w:rFonts w:ascii="Arial Narrow" w:hAnsi="Arial Narrow"/>
                      <w:lang w:val="sk-SK" w:eastAsia="sk-SK"/>
                    </w:rPr>
                    <w:t>013 - Softvér</w:t>
                  </w:r>
                </w:p>
                <w:p w14:paraId="1ED525D6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014 - Oceniteľné práva</w:t>
                  </w:r>
                </w:p>
                <w:p w14:paraId="72194FD7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021 - Stavby</w:t>
                  </w:r>
                </w:p>
                <w:p w14:paraId="5018E7C9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lastRenderedPageBreak/>
                    <w:t>022 - Samostatné hnuteľné veci a súbory hnuteľných vecí</w:t>
                  </w:r>
                </w:p>
                <w:p w14:paraId="6680ED73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027 - Pozemky</w:t>
                  </w:r>
                </w:p>
                <w:p w14:paraId="7B223009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112 - Zásoby</w:t>
                  </w:r>
                </w:p>
                <w:p w14:paraId="6999D29C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518 - Ostatné služby</w:t>
                  </w:r>
                </w:p>
                <w:p w14:paraId="4D31A8ED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lang w:val="sk-SK" w:eastAsia="sk-SK"/>
                    </w:rPr>
                  </w:pPr>
                  <w:r w:rsidRPr="00956098">
                    <w:rPr>
                      <w:rFonts w:ascii="Arial Narrow" w:hAnsi="Arial Narrow"/>
                      <w:lang w:val="sk-SK" w:eastAsia="sk-SK"/>
                    </w:rPr>
                    <w:t>521 - Mzdové výdavky</w:t>
                  </w:r>
                </w:p>
                <w:p w14:paraId="052A686A" w14:textId="77777777" w:rsidR="00956098" w:rsidRPr="00956098" w:rsidRDefault="00956098" w:rsidP="00956098">
                  <w:pPr>
                    <w:tabs>
                      <w:tab w:val="left" w:pos="979"/>
                    </w:tabs>
                    <w:jc w:val="both"/>
                    <w:rPr>
                      <w:rFonts w:ascii="Arial Narrow" w:hAnsi="Arial Narrow"/>
                      <w:b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t>930 - Rezerva na nepredvídané výdavky</w:t>
                  </w:r>
                </w:p>
              </w:tc>
              <w:tc>
                <w:tcPr>
                  <w:tcW w:w="3785" w:type="dxa"/>
                </w:tcPr>
                <w:p w14:paraId="46F45597" w14:textId="77777777" w:rsidR="00956098" w:rsidRPr="00956098" w:rsidRDefault="00956098" w:rsidP="00956098">
                  <w:pPr>
                    <w:spacing w:before="120" w:after="120"/>
                    <w:jc w:val="both"/>
                    <w:rPr>
                      <w:rFonts w:ascii="Arial Narrow" w:hAnsi="Arial Narrow"/>
                      <w:b/>
                      <w:lang w:val="sk-SK"/>
                    </w:rPr>
                  </w:pPr>
                  <w:r w:rsidRPr="00956098">
                    <w:rPr>
                      <w:rFonts w:ascii="Arial Narrow" w:hAnsi="Arial Narrow"/>
                      <w:lang w:val="sk-SK"/>
                    </w:rPr>
                    <w:lastRenderedPageBreak/>
                    <w:t>907 - Paušálna sadzba na nepriame výdavky podľa článku 54 písm. a) NSU</w:t>
                  </w:r>
                </w:p>
              </w:tc>
            </w:tr>
          </w:tbl>
          <w:p w14:paraId="18791088" w14:textId="77777777" w:rsidR="00D310CB" w:rsidRPr="00E11077" w:rsidRDefault="00D310CB" w:rsidP="00956098">
            <w:pPr>
              <w:pStyle w:val="Textkomentra"/>
              <w:rPr>
                <w:rFonts w:ascii="Arial Narrow" w:hAnsi="Arial Narrow"/>
                <w:b/>
                <w:szCs w:val="22"/>
                <w:lang w:val="sk-SK"/>
              </w:rPr>
            </w:pPr>
          </w:p>
        </w:tc>
      </w:tr>
    </w:tbl>
    <w:p w14:paraId="4CCFA0AA" w14:textId="10F2FC0C" w:rsidR="00DE181D" w:rsidRPr="00011B14" w:rsidRDefault="00DE181D" w:rsidP="00DE181D"/>
    <w:p w14:paraId="479082E2" w14:textId="54BC040B" w:rsidR="00DE181D" w:rsidRPr="00011B14" w:rsidRDefault="00DE181D" w:rsidP="00DE181D">
      <w:r w:rsidRPr="00011B14">
        <w:t>Dotazník splnenia základnej podmienky v zmysle prílohy IV Nariadenia Európskeho parlamentu a Rady (EÚ) 2021/1060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E181D" w:rsidRPr="00011B14" w14:paraId="24E3F494" w14:textId="77777777" w:rsidTr="00516A9B">
        <w:tc>
          <w:tcPr>
            <w:tcW w:w="2265" w:type="dxa"/>
            <w:shd w:val="clear" w:color="auto" w:fill="FFE599" w:themeFill="accent4" w:themeFillTint="66"/>
          </w:tcPr>
          <w:p w14:paraId="0DF9FB4F" w14:textId="098C8BB1" w:rsidR="00DE181D" w:rsidRPr="00011B14" w:rsidRDefault="00DE181D" w:rsidP="00516A9B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Názov základnej podmienky</w:t>
            </w:r>
            <w:r w:rsidR="00A32482"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 relevantnej pre ŠC 2.6</w:t>
            </w:r>
            <w:r w:rsidRPr="00011B14">
              <w:rPr>
                <w:rFonts w:ascii="Arial Narrow" w:hAnsi="Arial Narrow"/>
                <w:b/>
                <w:szCs w:val="22"/>
                <w:lang w:val="sk-SK"/>
              </w:rPr>
              <w:t xml:space="preserve"> v zmysle Nariadenia Európskeho parlamentu a Rady (EÚ) 2021/1060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14:paraId="4A2ACC0E" w14:textId="77777777" w:rsidR="00DE181D" w:rsidRPr="00011B14" w:rsidRDefault="00DE181D" w:rsidP="00516A9B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Kritériá splnenia základnej podmienky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14:paraId="66E3246D" w14:textId="77777777" w:rsidR="00DE181D" w:rsidRPr="00011B14" w:rsidRDefault="00DE181D" w:rsidP="00516A9B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Bude nastavením Podmienky oprávnenosti aktivít projektu zabezpečené splnenie základnej podmienky?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14:paraId="32F966A7" w14:textId="77777777" w:rsidR="00DE181D" w:rsidRPr="00011B14" w:rsidRDefault="00DE181D" w:rsidP="00516A9B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011B14">
              <w:rPr>
                <w:rFonts w:ascii="Arial Narrow" w:hAnsi="Arial Narrow"/>
                <w:b/>
                <w:szCs w:val="22"/>
                <w:lang w:val="sk-SK"/>
              </w:rPr>
              <w:t>Slovné zdôvodnenie</w:t>
            </w:r>
          </w:p>
        </w:tc>
      </w:tr>
      <w:tr w:rsidR="00DE181D" w:rsidRPr="00011B14" w14:paraId="0D7EE31F" w14:textId="77777777" w:rsidTr="00516A9B">
        <w:trPr>
          <w:trHeight w:val="1132"/>
        </w:trPr>
        <w:tc>
          <w:tcPr>
            <w:tcW w:w="2265" w:type="dxa"/>
          </w:tcPr>
          <w:p w14:paraId="3F2A7844" w14:textId="77777777" w:rsidR="00A76043" w:rsidRPr="00011B14" w:rsidRDefault="00A76043" w:rsidP="00A76043">
            <w:pPr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2.6.</w:t>
            </w:r>
          </w:p>
          <w:p w14:paraId="582A986C" w14:textId="5B5499A0" w:rsidR="00DE181D" w:rsidRPr="00011B14" w:rsidRDefault="00A76043" w:rsidP="00A76043">
            <w:pPr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Aktualizované plánovanie odpadového hospodárstva</w:t>
            </w:r>
          </w:p>
        </w:tc>
        <w:tc>
          <w:tcPr>
            <w:tcW w:w="2265" w:type="dxa"/>
          </w:tcPr>
          <w:p w14:paraId="21B785DB" w14:textId="77777777" w:rsidR="00A76043" w:rsidRPr="00011B14" w:rsidRDefault="00A76043" w:rsidP="00A76043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Jeden alebo viacero programov odpadového hospodárstva uvedených v článku 28 smernice Európskeho parlamentu a Rady 2008/98/ES sú zavedené, vzťahujú sa na celé územie členského štátu a zahŕňajú:</w:t>
            </w:r>
          </w:p>
          <w:p w14:paraId="7856D272" w14:textId="7D416820" w:rsidR="00DE181D" w:rsidRPr="00011B14" w:rsidRDefault="00A76043" w:rsidP="00A76043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1. Analýzu súčasného stavu odpadového hospodárstva v dotknutej geografickej oblasti vrátane druhu, množstva a zdroja vyprodukovaného odpadu a hodnotenia ich budúceho vývoja, pričom sa zohľadnia očakávané vplyvy opatrení stanovených v programoch predchádzania vzniku odpadu, ktoré sa vypracovali v súlade s článkom 29 smernice 2008/98/ES.</w:t>
            </w:r>
          </w:p>
          <w:p w14:paraId="3D3CD125" w14:textId="054652B9" w:rsidR="00A76043" w:rsidRPr="00011B14" w:rsidRDefault="00A76043" w:rsidP="00A76043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2. Posúdenie existujúcich systémov zberu odpadu vrátane materiálov a územného pokrytia triedeného zberu a opatrení na zlepšenie jeho fungovania, ako aj potreby nových systémov zberu.</w:t>
            </w:r>
          </w:p>
          <w:p w14:paraId="0649C8B3" w14:textId="4ED4B0A1" w:rsidR="00A76043" w:rsidRPr="00011B14" w:rsidRDefault="00A76043" w:rsidP="00A76043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3. Posúdenie nedostatku investícií, v ktorom sa odôvodňuje potreba uzavretia existujúcich zariadení na spracovanie odpadu a dodatočnej alebo modernizovanej infraštruktúry na nakladanie s odpadom, spolu s informáciami o zdrojoch príjmov, ktoré sú k dispozícii na pokrytie nákladov na prevádzku a údržbu.</w:t>
            </w:r>
          </w:p>
          <w:p w14:paraId="4D8479CB" w14:textId="2BD96620" w:rsidR="00A76043" w:rsidRPr="00011B14" w:rsidRDefault="00A76043" w:rsidP="00A76043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 xml:space="preserve">4. Informácie o lokalizačných kritériách pre určenie miesta a o kapacite </w:t>
            </w:r>
            <w:r w:rsidRPr="00011B14">
              <w:rPr>
                <w:rFonts w:ascii="Arial Narrow" w:hAnsi="Arial Narrow"/>
                <w:szCs w:val="22"/>
                <w:lang w:val="sk-SK"/>
              </w:rPr>
              <w:lastRenderedPageBreak/>
              <w:t>budúcich zariadení na zneškodňovanie odpadu. Informácie o lokalizačných kritériách pre určenie lokalizácie budúcich miest a o kapacite budúcich zariadení na spracovanie odpadu.</w:t>
            </w:r>
          </w:p>
        </w:tc>
        <w:sdt>
          <w:sdtPr>
            <w:rPr>
              <w:rFonts w:ascii="Arial Narrow" w:hAnsi="Arial Narrow"/>
              <w:szCs w:val="22"/>
            </w:rPr>
            <w:alias w:val="Vyberte zo zoznamu"/>
            <w:tag w:val="Vyberte zo zoznamu"/>
            <w:id w:val="-1458630985"/>
            <w:placeholder>
              <w:docPart w:val="55E849078ABF42F7BF6F73C24A8944EB"/>
            </w:placeholder>
            <w:comboBox>
              <w:listItem w:displayText="áno" w:value="áno"/>
              <w:listItem w:displayText="nie" w:value="nie"/>
              <w:listItem w:displayText="iné" w:value="iné"/>
            </w:comboBox>
          </w:sdtPr>
          <w:sdtEndPr>
            <w:rPr>
              <w:rFonts w:ascii="Times New Roman" w:hAnsi="Times New Roman"/>
              <w:szCs w:val="20"/>
            </w:rPr>
          </w:sdtEndPr>
          <w:sdtContent>
            <w:tc>
              <w:tcPr>
                <w:tcW w:w="2266" w:type="dxa"/>
              </w:tcPr>
              <w:p w14:paraId="6E4146A5" w14:textId="64BF9B1F" w:rsidR="00DE181D" w:rsidRPr="00011B14" w:rsidRDefault="00A76043" w:rsidP="00516A9B">
                <w:pPr>
                  <w:jc w:val="center"/>
                  <w:rPr>
                    <w:lang w:val="sk-SK"/>
                  </w:rPr>
                </w:pPr>
                <w:r w:rsidRPr="00011B14">
                  <w:rPr>
                    <w:rFonts w:ascii="Arial Narrow" w:hAnsi="Arial Narrow"/>
                    <w:szCs w:val="22"/>
                    <w:lang w:val="sk-SK"/>
                  </w:rPr>
                  <w:t>áno</w:t>
                </w:r>
              </w:p>
            </w:tc>
          </w:sdtContent>
        </w:sdt>
        <w:tc>
          <w:tcPr>
            <w:tcW w:w="2266" w:type="dxa"/>
          </w:tcPr>
          <w:p w14:paraId="59402957" w14:textId="2AFEE069" w:rsidR="00DE181D" w:rsidRPr="00011B14" w:rsidRDefault="00C33D1C" w:rsidP="009C25BC">
            <w:pPr>
              <w:jc w:val="both"/>
              <w:rPr>
                <w:rFonts w:ascii="Arial Narrow" w:hAnsi="Arial Narrow"/>
                <w:szCs w:val="22"/>
                <w:lang w:val="sk-SK"/>
              </w:rPr>
            </w:pPr>
            <w:r w:rsidRPr="00011B14">
              <w:rPr>
                <w:rFonts w:ascii="Arial Narrow" w:hAnsi="Arial Narrow"/>
                <w:szCs w:val="22"/>
                <w:lang w:val="sk-SK"/>
              </w:rPr>
              <w:t>Realizácia opatrení je v súlade s cieľmi a opatreniami uvedenými</w:t>
            </w:r>
            <w:r w:rsidR="00A76043" w:rsidRPr="00011B14">
              <w:rPr>
                <w:rFonts w:ascii="Arial Narrow" w:hAnsi="Arial Narrow"/>
                <w:szCs w:val="22"/>
                <w:lang w:val="sk-SK"/>
              </w:rPr>
              <w:t xml:space="preserve"> v</w:t>
            </w:r>
            <w:r w:rsidR="00FA2DD1" w:rsidRPr="00011B14">
              <w:rPr>
                <w:rFonts w:ascii="Arial Narrow" w:hAnsi="Arial Narrow"/>
                <w:szCs w:val="22"/>
                <w:lang w:val="sk-SK"/>
              </w:rPr>
              <w:t xml:space="preserve"> Programe </w:t>
            </w:r>
            <w:r w:rsidR="009C25BC" w:rsidRPr="00011B14">
              <w:rPr>
                <w:rFonts w:ascii="Arial Narrow" w:hAnsi="Arial Narrow"/>
                <w:szCs w:val="22"/>
                <w:lang w:val="sk-SK"/>
              </w:rPr>
              <w:t>odpadového hospodárstva SR</w:t>
            </w:r>
          </w:p>
        </w:tc>
      </w:tr>
    </w:tbl>
    <w:p w14:paraId="5ABDA3AD" w14:textId="39247083" w:rsidR="00B4258E" w:rsidRPr="00011B14" w:rsidRDefault="00B4258E"/>
    <w:sectPr w:rsidR="00B4258E" w:rsidRPr="00011B14" w:rsidSect="0001314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1A06" w14:textId="77777777" w:rsidR="009014AA" w:rsidRDefault="009014AA" w:rsidP="00DB2F0B">
      <w:r>
        <w:separator/>
      </w:r>
    </w:p>
  </w:endnote>
  <w:endnote w:type="continuationSeparator" w:id="0">
    <w:p w14:paraId="1A567938" w14:textId="77777777" w:rsidR="009014AA" w:rsidRDefault="009014AA" w:rsidP="00D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183E" w14:textId="77777777" w:rsidR="009014AA" w:rsidRDefault="009014AA" w:rsidP="00DB2F0B">
      <w:r>
        <w:separator/>
      </w:r>
    </w:p>
  </w:footnote>
  <w:footnote w:type="continuationSeparator" w:id="0">
    <w:p w14:paraId="204ED4F2" w14:textId="77777777" w:rsidR="009014AA" w:rsidRDefault="009014AA" w:rsidP="00DB2F0B">
      <w:r>
        <w:continuationSeparator/>
      </w:r>
    </w:p>
  </w:footnote>
  <w:footnote w:id="1">
    <w:p w14:paraId="471216EB" w14:textId="0FF65720" w:rsidR="00326D40" w:rsidRDefault="00326D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Style w:val="Odkaznapoznmkupodiarou"/>
        </w:rPr>
        <w:footnoteRef/>
      </w:r>
      <w:r>
        <w:t xml:space="preserve"> Oprávnenosť výdavkov bude zadefinovaná v zmysle Príručky k oprávnenosti výdavkov na programové obdobie 2021-2027.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83"/>
    <w:multiLevelType w:val="hybridMultilevel"/>
    <w:tmpl w:val="BB1C967E"/>
    <w:lvl w:ilvl="0" w:tplc="041B001B">
      <w:start w:val="1"/>
      <w:numFmt w:val="lowerRoman"/>
      <w:lvlText w:val="%1."/>
      <w:lvlJc w:val="right"/>
      <w:pPr>
        <w:ind w:left="1474" w:hanging="360"/>
      </w:pPr>
    </w:lvl>
    <w:lvl w:ilvl="1" w:tplc="041B0019" w:tentative="1">
      <w:start w:val="1"/>
      <w:numFmt w:val="lowerLetter"/>
      <w:lvlText w:val="%2."/>
      <w:lvlJc w:val="left"/>
      <w:pPr>
        <w:ind w:left="2194" w:hanging="360"/>
      </w:pPr>
    </w:lvl>
    <w:lvl w:ilvl="2" w:tplc="041B001B" w:tentative="1">
      <w:start w:val="1"/>
      <w:numFmt w:val="lowerRoman"/>
      <w:lvlText w:val="%3."/>
      <w:lvlJc w:val="right"/>
      <w:pPr>
        <w:ind w:left="2914" w:hanging="180"/>
      </w:pPr>
    </w:lvl>
    <w:lvl w:ilvl="3" w:tplc="041B000F" w:tentative="1">
      <w:start w:val="1"/>
      <w:numFmt w:val="decimal"/>
      <w:lvlText w:val="%4."/>
      <w:lvlJc w:val="left"/>
      <w:pPr>
        <w:ind w:left="3634" w:hanging="360"/>
      </w:pPr>
    </w:lvl>
    <w:lvl w:ilvl="4" w:tplc="041B0019" w:tentative="1">
      <w:start w:val="1"/>
      <w:numFmt w:val="lowerLetter"/>
      <w:lvlText w:val="%5."/>
      <w:lvlJc w:val="left"/>
      <w:pPr>
        <w:ind w:left="4354" w:hanging="360"/>
      </w:pPr>
    </w:lvl>
    <w:lvl w:ilvl="5" w:tplc="041B001B" w:tentative="1">
      <w:start w:val="1"/>
      <w:numFmt w:val="lowerRoman"/>
      <w:lvlText w:val="%6."/>
      <w:lvlJc w:val="right"/>
      <w:pPr>
        <w:ind w:left="5074" w:hanging="180"/>
      </w:pPr>
    </w:lvl>
    <w:lvl w:ilvl="6" w:tplc="041B000F" w:tentative="1">
      <w:start w:val="1"/>
      <w:numFmt w:val="decimal"/>
      <w:lvlText w:val="%7."/>
      <w:lvlJc w:val="left"/>
      <w:pPr>
        <w:ind w:left="5794" w:hanging="360"/>
      </w:pPr>
    </w:lvl>
    <w:lvl w:ilvl="7" w:tplc="041B0019" w:tentative="1">
      <w:start w:val="1"/>
      <w:numFmt w:val="lowerLetter"/>
      <w:lvlText w:val="%8."/>
      <w:lvlJc w:val="left"/>
      <w:pPr>
        <w:ind w:left="6514" w:hanging="360"/>
      </w:pPr>
    </w:lvl>
    <w:lvl w:ilvl="8" w:tplc="041B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37C65E8"/>
    <w:multiLevelType w:val="hybridMultilevel"/>
    <w:tmpl w:val="29B68828"/>
    <w:lvl w:ilvl="0" w:tplc="8B0A9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33C9"/>
    <w:multiLevelType w:val="hybridMultilevel"/>
    <w:tmpl w:val="8E8C3906"/>
    <w:lvl w:ilvl="0" w:tplc="041B0001">
      <w:start w:val="6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B27"/>
    <w:multiLevelType w:val="hybridMultilevel"/>
    <w:tmpl w:val="FBB85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5B9B"/>
    <w:multiLevelType w:val="hybridMultilevel"/>
    <w:tmpl w:val="0FE8A284"/>
    <w:lvl w:ilvl="0" w:tplc="1CF687DA">
      <w:start w:val="1"/>
      <w:numFmt w:val="bullet"/>
      <w:lvlText w:val="-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CE54B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28F0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4DF86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C7710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BC4E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56F092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0A9BE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C2066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65466B"/>
    <w:multiLevelType w:val="hybridMultilevel"/>
    <w:tmpl w:val="6B900E96"/>
    <w:lvl w:ilvl="0" w:tplc="041B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4F64B57"/>
    <w:multiLevelType w:val="hybridMultilevel"/>
    <w:tmpl w:val="8A2C380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21B8"/>
    <w:multiLevelType w:val="hybridMultilevel"/>
    <w:tmpl w:val="CBD06770"/>
    <w:lvl w:ilvl="0" w:tplc="F836D0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E5B0E"/>
    <w:multiLevelType w:val="hybridMultilevel"/>
    <w:tmpl w:val="5680C4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4B95"/>
    <w:multiLevelType w:val="hybridMultilevel"/>
    <w:tmpl w:val="47AE60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D3D95"/>
    <w:multiLevelType w:val="hybridMultilevel"/>
    <w:tmpl w:val="2FB6EA0A"/>
    <w:lvl w:ilvl="0" w:tplc="041B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47A1FF2"/>
    <w:multiLevelType w:val="hybridMultilevel"/>
    <w:tmpl w:val="0DB41612"/>
    <w:lvl w:ilvl="0" w:tplc="65C6EB0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E7CAB"/>
    <w:multiLevelType w:val="hybridMultilevel"/>
    <w:tmpl w:val="DBA61AAE"/>
    <w:lvl w:ilvl="0" w:tplc="98069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30A3"/>
    <w:multiLevelType w:val="hybridMultilevel"/>
    <w:tmpl w:val="3D902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1159"/>
    <w:multiLevelType w:val="hybridMultilevel"/>
    <w:tmpl w:val="ADF050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685B"/>
    <w:multiLevelType w:val="hybridMultilevel"/>
    <w:tmpl w:val="804ED4AA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B68A4"/>
    <w:multiLevelType w:val="hybridMultilevel"/>
    <w:tmpl w:val="5F6AC1FE"/>
    <w:lvl w:ilvl="0" w:tplc="EA6830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369AF"/>
    <w:multiLevelType w:val="hybridMultilevel"/>
    <w:tmpl w:val="D3C01CA2"/>
    <w:lvl w:ilvl="0" w:tplc="72D4A2F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8680676"/>
    <w:multiLevelType w:val="hybridMultilevel"/>
    <w:tmpl w:val="9F368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5674">
    <w:abstractNumId w:val="15"/>
  </w:num>
  <w:num w:numId="2" w16cid:durableId="454100086">
    <w:abstractNumId w:val="6"/>
  </w:num>
  <w:num w:numId="3" w16cid:durableId="1009336890">
    <w:abstractNumId w:val="10"/>
  </w:num>
  <w:num w:numId="4" w16cid:durableId="694231759">
    <w:abstractNumId w:val="0"/>
  </w:num>
  <w:num w:numId="5" w16cid:durableId="1329484455">
    <w:abstractNumId w:val="4"/>
  </w:num>
  <w:num w:numId="6" w16cid:durableId="123618412">
    <w:abstractNumId w:val="5"/>
  </w:num>
  <w:num w:numId="7" w16cid:durableId="1280989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842885">
    <w:abstractNumId w:val="12"/>
  </w:num>
  <w:num w:numId="9" w16cid:durableId="696197013">
    <w:abstractNumId w:val="17"/>
  </w:num>
  <w:num w:numId="10" w16cid:durableId="628513740">
    <w:abstractNumId w:val="11"/>
  </w:num>
  <w:num w:numId="11" w16cid:durableId="1646160582">
    <w:abstractNumId w:val="3"/>
  </w:num>
  <w:num w:numId="12" w16cid:durableId="1889492269">
    <w:abstractNumId w:val="8"/>
  </w:num>
  <w:num w:numId="13" w16cid:durableId="1375764476">
    <w:abstractNumId w:val="14"/>
  </w:num>
  <w:num w:numId="14" w16cid:durableId="671222342">
    <w:abstractNumId w:val="9"/>
  </w:num>
  <w:num w:numId="15" w16cid:durableId="1325009527">
    <w:abstractNumId w:val="7"/>
  </w:num>
  <w:num w:numId="16" w16cid:durableId="106585784">
    <w:abstractNumId w:val="2"/>
  </w:num>
  <w:num w:numId="17" w16cid:durableId="2100518388">
    <w:abstractNumId w:val="1"/>
  </w:num>
  <w:num w:numId="18" w16cid:durableId="600141102">
    <w:abstractNumId w:val="13"/>
  </w:num>
  <w:num w:numId="19" w16cid:durableId="1944223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C0"/>
    <w:rsid w:val="00002D94"/>
    <w:rsid w:val="00011B14"/>
    <w:rsid w:val="00011FDB"/>
    <w:rsid w:val="0001314D"/>
    <w:rsid w:val="000222DA"/>
    <w:rsid w:val="00045B00"/>
    <w:rsid w:val="000637D3"/>
    <w:rsid w:val="00070362"/>
    <w:rsid w:val="000A611E"/>
    <w:rsid w:val="000B44A0"/>
    <w:rsid w:val="000C02F7"/>
    <w:rsid w:val="000C1A06"/>
    <w:rsid w:val="000C6266"/>
    <w:rsid w:val="000D0D65"/>
    <w:rsid w:val="000E23B7"/>
    <w:rsid w:val="000E2578"/>
    <w:rsid w:val="000F0A11"/>
    <w:rsid w:val="000F6DDD"/>
    <w:rsid w:val="00115372"/>
    <w:rsid w:val="00116F70"/>
    <w:rsid w:val="001300EC"/>
    <w:rsid w:val="00144138"/>
    <w:rsid w:val="00146F58"/>
    <w:rsid w:val="001523FC"/>
    <w:rsid w:val="001555EF"/>
    <w:rsid w:val="001642A8"/>
    <w:rsid w:val="00165DE6"/>
    <w:rsid w:val="00181D84"/>
    <w:rsid w:val="00186E92"/>
    <w:rsid w:val="0019290D"/>
    <w:rsid w:val="001A1467"/>
    <w:rsid w:val="001B73F8"/>
    <w:rsid w:val="001C63EA"/>
    <w:rsid w:val="001D1795"/>
    <w:rsid w:val="001D6C91"/>
    <w:rsid w:val="001D7D8F"/>
    <w:rsid w:val="001F5412"/>
    <w:rsid w:val="00202E18"/>
    <w:rsid w:val="00205A0A"/>
    <w:rsid w:val="002144D8"/>
    <w:rsid w:val="00236759"/>
    <w:rsid w:val="00255AFC"/>
    <w:rsid w:val="00272ECC"/>
    <w:rsid w:val="0027688A"/>
    <w:rsid w:val="0027774E"/>
    <w:rsid w:val="002C349B"/>
    <w:rsid w:val="002D3817"/>
    <w:rsid w:val="002D40E5"/>
    <w:rsid w:val="002E5BA1"/>
    <w:rsid w:val="002E62C7"/>
    <w:rsid w:val="002F3D35"/>
    <w:rsid w:val="002F5076"/>
    <w:rsid w:val="002F65C6"/>
    <w:rsid w:val="00306972"/>
    <w:rsid w:val="00320ECC"/>
    <w:rsid w:val="00323356"/>
    <w:rsid w:val="0032472D"/>
    <w:rsid w:val="00326D40"/>
    <w:rsid w:val="003313F3"/>
    <w:rsid w:val="00335A0B"/>
    <w:rsid w:val="00335B59"/>
    <w:rsid w:val="003577B1"/>
    <w:rsid w:val="00360F80"/>
    <w:rsid w:val="00362F53"/>
    <w:rsid w:val="00363257"/>
    <w:rsid w:val="003759AD"/>
    <w:rsid w:val="00380C43"/>
    <w:rsid w:val="003B0145"/>
    <w:rsid w:val="003B0CA9"/>
    <w:rsid w:val="003C0157"/>
    <w:rsid w:val="003C1E70"/>
    <w:rsid w:val="003C48BC"/>
    <w:rsid w:val="003C7BE7"/>
    <w:rsid w:val="003D0199"/>
    <w:rsid w:val="00407A9E"/>
    <w:rsid w:val="004106BE"/>
    <w:rsid w:val="00420E2F"/>
    <w:rsid w:val="00435F1C"/>
    <w:rsid w:val="00447EBC"/>
    <w:rsid w:val="004577BB"/>
    <w:rsid w:val="004736F4"/>
    <w:rsid w:val="004829B7"/>
    <w:rsid w:val="004925BF"/>
    <w:rsid w:val="00493460"/>
    <w:rsid w:val="004B7FDE"/>
    <w:rsid w:val="004C3AE6"/>
    <w:rsid w:val="004C5D68"/>
    <w:rsid w:val="004E2F44"/>
    <w:rsid w:val="004E46F1"/>
    <w:rsid w:val="004F60B2"/>
    <w:rsid w:val="004F731E"/>
    <w:rsid w:val="005018B3"/>
    <w:rsid w:val="00507E3E"/>
    <w:rsid w:val="00523749"/>
    <w:rsid w:val="0052574E"/>
    <w:rsid w:val="00526A1C"/>
    <w:rsid w:val="00542ECF"/>
    <w:rsid w:val="00544D75"/>
    <w:rsid w:val="0055043E"/>
    <w:rsid w:val="00555599"/>
    <w:rsid w:val="00562C4A"/>
    <w:rsid w:val="00571EC4"/>
    <w:rsid w:val="0057733F"/>
    <w:rsid w:val="005832EE"/>
    <w:rsid w:val="005A3751"/>
    <w:rsid w:val="005A7C06"/>
    <w:rsid w:val="005C7CD1"/>
    <w:rsid w:val="005E6DCC"/>
    <w:rsid w:val="005F155F"/>
    <w:rsid w:val="00607D95"/>
    <w:rsid w:val="0061145A"/>
    <w:rsid w:val="00632F72"/>
    <w:rsid w:val="006364E8"/>
    <w:rsid w:val="0065505B"/>
    <w:rsid w:val="00661F53"/>
    <w:rsid w:val="00684496"/>
    <w:rsid w:val="006968CC"/>
    <w:rsid w:val="006B0A80"/>
    <w:rsid w:val="006C0D2B"/>
    <w:rsid w:val="006D0DB8"/>
    <w:rsid w:val="006D29ED"/>
    <w:rsid w:val="006E5B97"/>
    <w:rsid w:val="006F5C18"/>
    <w:rsid w:val="0071797A"/>
    <w:rsid w:val="00720174"/>
    <w:rsid w:val="0073613E"/>
    <w:rsid w:val="00771029"/>
    <w:rsid w:val="007721FB"/>
    <w:rsid w:val="007865AE"/>
    <w:rsid w:val="00786CAD"/>
    <w:rsid w:val="00792EBD"/>
    <w:rsid w:val="0079636C"/>
    <w:rsid w:val="007C1975"/>
    <w:rsid w:val="007D3E8E"/>
    <w:rsid w:val="007E15D0"/>
    <w:rsid w:val="007E1E20"/>
    <w:rsid w:val="007E352F"/>
    <w:rsid w:val="007F0AB4"/>
    <w:rsid w:val="0080292D"/>
    <w:rsid w:val="00804109"/>
    <w:rsid w:val="00805ECE"/>
    <w:rsid w:val="00812534"/>
    <w:rsid w:val="008177B7"/>
    <w:rsid w:val="0083517E"/>
    <w:rsid w:val="008351E3"/>
    <w:rsid w:val="008416EF"/>
    <w:rsid w:val="0084634F"/>
    <w:rsid w:val="00886660"/>
    <w:rsid w:val="00886DDD"/>
    <w:rsid w:val="00890E6C"/>
    <w:rsid w:val="0089707A"/>
    <w:rsid w:val="008A6AFA"/>
    <w:rsid w:val="008A7195"/>
    <w:rsid w:val="008D1FAA"/>
    <w:rsid w:val="008D5E59"/>
    <w:rsid w:val="009014AA"/>
    <w:rsid w:val="00910472"/>
    <w:rsid w:val="00910536"/>
    <w:rsid w:val="0091477A"/>
    <w:rsid w:val="009354D8"/>
    <w:rsid w:val="00935ED9"/>
    <w:rsid w:val="00941410"/>
    <w:rsid w:val="00944B41"/>
    <w:rsid w:val="00953CC6"/>
    <w:rsid w:val="00956098"/>
    <w:rsid w:val="0095750B"/>
    <w:rsid w:val="00966757"/>
    <w:rsid w:val="0096750F"/>
    <w:rsid w:val="00981494"/>
    <w:rsid w:val="00992D7B"/>
    <w:rsid w:val="00993571"/>
    <w:rsid w:val="00997834"/>
    <w:rsid w:val="009A0EFD"/>
    <w:rsid w:val="009B000A"/>
    <w:rsid w:val="009C0804"/>
    <w:rsid w:val="009C25BC"/>
    <w:rsid w:val="009C35F8"/>
    <w:rsid w:val="009D3E8C"/>
    <w:rsid w:val="00A019C3"/>
    <w:rsid w:val="00A156EE"/>
    <w:rsid w:val="00A21324"/>
    <w:rsid w:val="00A32482"/>
    <w:rsid w:val="00A4210C"/>
    <w:rsid w:val="00A76043"/>
    <w:rsid w:val="00A9707E"/>
    <w:rsid w:val="00A97B37"/>
    <w:rsid w:val="00AA4C69"/>
    <w:rsid w:val="00AB2F78"/>
    <w:rsid w:val="00AB5B35"/>
    <w:rsid w:val="00AC1A43"/>
    <w:rsid w:val="00AC7920"/>
    <w:rsid w:val="00AF53D1"/>
    <w:rsid w:val="00AF6EBC"/>
    <w:rsid w:val="00B26690"/>
    <w:rsid w:val="00B31052"/>
    <w:rsid w:val="00B328FC"/>
    <w:rsid w:val="00B34B41"/>
    <w:rsid w:val="00B37006"/>
    <w:rsid w:val="00B4258E"/>
    <w:rsid w:val="00B56B14"/>
    <w:rsid w:val="00B82347"/>
    <w:rsid w:val="00B93C0A"/>
    <w:rsid w:val="00B96769"/>
    <w:rsid w:val="00BA31B2"/>
    <w:rsid w:val="00BC162A"/>
    <w:rsid w:val="00BC41DB"/>
    <w:rsid w:val="00BD2ED9"/>
    <w:rsid w:val="00BD3B23"/>
    <w:rsid w:val="00BE6146"/>
    <w:rsid w:val="00C0170A"/>
    <w:rsid w:val="00C034C1"/>
    <w:rsid w:val="00C0716B"/>
    <w:rsid w:val="00C10DFC"/>
    <w:rsid w:val="00C16E4E"/>
    <w:rsid w:val="00C217FE"/>
    <w:rsid w:val="00C33D1C"/>
    <w:rsid w:val="00C36DD2"/>
    <w:rsid w:val="00C74DAF"/>
    <w:rsid w:val="00C82873"/>
    <w:rsid w:val="00C91350"/>
    <w:rsid w:val="00CA7C47"/>
    <w:rsid w:val="00CB0543"/>
    <w:rsid w:val="00CE049D"/>
    <w:rsid w:val="00CF05EE"/>
    <w:rsid w:val="00D07D28"/>
    <w:rsid w:val="00D1030D"/>
    <w:rsid w:val="00D310CB"/>
    <w:rsid w:val="00D3413B"/>
    <w:rsid w:val="00D77080"/>
    <w:rsid w:val="00D77625"/>
    <w:rsid w:val="00D9409C"/>
    <w:rsid w:val="00DA32DB"/>
    <w:rsid w:val="00DB2F0B"/>
    <w:rsid w:val="00DC7E90"/>
    <w:rsid w:val="00DE181D"/>
    <w:rsid w:val="00DE4BE1"/>
    <w:rsid w:val="00DF6CE0"/>
    <w:rsid w:val="00E11077"/>
    <w:rsid w:val="00E329B7"/>
    <w:rsid w:val="00E330AB"/>
    <w:rsid w:val="00E34B84"/>
    <w:rsid w:val="00E3649F"/>
    <w:rsid w:val="00E40F63"/>
    <w:rsid w:val="00E50424"/>
    <w:rsid w:val="00E510D2"/>
    <w:rsid w:val="00E704DF"/>
    <w:rsid w:val="00E77018"/>
    <w:rsid w:val="00E8165D"/>
    <w:rsid w:val="00E923DF"/>
    <w:rsid w:val="00EA6192"/>
    <w:rsid w:val="00EB0378"/>
    <w:rsid w:val="00EB0D9D"/>
    <w:rsid w:val="00EB15F3"/>
    <w:rsid w:val="00EC69CC"/>
    <w:rsid w:val="00EC73F5"/>
    <w:rsid w:val="00EC7695"/>
    <w:rsid w:val="00ED38B5"/>
    <w:rsid w:val="00EE789D"/>
    <w:rsid w:val="00F07D65"/>
    <w:rsid w:val="00F10FF2"/>
    <w:rsid w:val="00F20F26"/>
    <w:rsid w:val="00F34237"/>
    <w:rsid w:val="00F5098C"/>
    <w:rsid w:val="00F50D54"/>
    <w:rsid w:val="00F51DD7"/>
    <w:rsid w:val="00F626B8"/>
    <w:rsid w:val="00F719A9"/>
    <w:rsid w:val="00F73F2A"/>
    <w:rsid w:val="00F9032F"/>
    <w:rsid w:val="00F910C0"/>
    <w:rsid w:val="00F9284A"/>
    <w:rsid w:val="00FA2DD1"/>
    <w:rsid w:val="00FB3405"/>
    <w:rsid w:val="00FB3991"/>
    <w:rsid w:val="00FB7A8C"/>
    <w:rsid w:val="00FC384E"/>
    <w:rsid w:val="00FD1385"/>
    <w:rsid w:val="00FD3782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8BCE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F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 Char4"/>
    <w:basedOn w:val="Normlny"/>
    <w:link w:val="TextpoznmkypodiarouChar"/>
    <w:qFormat/>
    <w:rsid w:val="00DB2F0B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 Char4 Char"/>
    <w:basedOn w:val="Predvolenpsmoodseku"/>
    <w:link w:val="Textpoznmkypodiarou"/>
    <w:qFormat/>
    <w:rsid w:val="00DB2F0B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Odsek zoznamu1,Listenabsatz,List Paragraph,Odsek,Lettre d'introduction,Paragrafo elenco,1st level - Bullet List Paragraph,Odražka 1,Odsek zoznamu21,List Paragraph1,Colorful List - Accent 11,Dot pt,F5 List Paragraph,L,2"/>
    <w:basedOn w:val="Normlny"/>
    <w:link w:val="OdsekzoznamuChar"/>
    <w:uiPriority w:val="34"/>
    <w:qFormat/>
    <w:rsid w:val="00DB2F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DB2F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2F0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2F0B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DB2F0B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,E,S"/>
    <w:link w:val="Char2"/>
    <w:qFormat/>
    <w:rsid w:val="00DB2F0B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Odsek zoznamu1 Char,Listenabsatz Char,List Paragraph Char,Odsek Char,Lettre d'introduction Char,Paragrafo elenco Char,1st level - Bullet List Paragraph Char,Odražka 1 Char,Odsek zoznamu21 Char,Dot pt Char"/>
    <w:link w:val="Odsekzoznamu"/>
    <w:uiPriority w:val="34"/>
    <w:qFormat/>
    <w:locked/>
    <w:rsid w:val="00DB2F0B"/>
    <w:rPr>
      <w:rFonts w:ascii="Times New Roman" w:eastAsia="Times New Roman" w:hAnsi="Times New Roman" w:cs="Times New Roman"/>
      <w:szCs w:val="20"/>
    </w:rPr>
  </w:style>
  <w:style w:type="paragraph" w:customStyle="1" w:styleId="Char2">
    <w:name w:val="Char2"/>
    <w:basedOn w:val="Normlny"/>
    <w:link w:val="Odkaznapoznmkupodiarou"/>
    <w:qFormat/>
    <w:rsid w:val="00DB2F0B"/>
    <w:pPr>
      <w:spacing w:after="160" w:line="240" w:lineRule="exact"/>
    </w:pPr>
    <w:rPr>
      <w:rFonts w:asciiTheme="minorHAnsi" w:eastAsiaTheme="minorHAnsi" w:hAnsiTheme="minorHAnsi"/>
      <w:szCs w:val="22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F0B"/>
    <w:rPr>
      <w:rFonts w:ascii="Segoe UI" w:eastAsia="Times New Roman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70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707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3313F3"/>
    <w:rPr>
      <w:color w:val="0563C1"/>
      <w:u w:val="single"/>
    </w:rPr>
  </w:style>
  <w:style w:type="paragraph" w:styleId="Revzia">
    <w:name w:val="Revision"/>
    <w:hidden/>
    <w:uiPriority w:val="99"/>
    <w:semiHidden/>
    <w:rsid w:val="002F65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j-tbl-txt">
    <w:name w:val="oj-tbl-txt"/>
    <w:basedOn w:val="Normlny"/>
    <w:rsid w:val="00DE181D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10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05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B310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052"/>
    <w:rPr>
      <w:rFonts w:ascii="Times New Roman" w:eastAsia="Times New Roman" w:hAnsi="Times New Roman" w:cs="Times New Roman"/>
      <w:szCs w:val="20"/>
    </w:rPr>
  </w:style>
  <w:style w:type="paragraph" w:customStyle="1" w:styleId="xmsonormal">
    <w:name w:val="x_msonormal"/>
    <w:basedOn w:val="Normlny"/>
    <w:rsid w:val="00C16E4E"/>
    <w:rPr>
      <w:rFonts w:ascii="Calibri" w:eastAsiaTheme="minorHAnsi" w:hAnsi="Calibri" w:cs="Calibri"/>
      <w:szCs w:val="22"/>
      <w:lang w:eastAsia="sk-SK"/>
    </w:rPr>
  </w:style>
  <w:style w:type="paragraph" w:customStyle="1" w:styleId="Default">
    <w:name w:val="Default"/>
    <w:basedOn w:val="Normlny"/>
    <w:rsid w:val="00EC73F5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paragraph" w:styleId="Bezriadkovania">
    <w:name w:val="No Spacing"/>
    <w:uiPriority w:val="1"/>
    <w:qFormat/>
    <w:rsid w:val="00011B14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6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E849078ABF42F7BF6F73C24A8944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6151DF-0257-416F-ABD8-4FB5851CB9DF}"/>
      </w:docPartPr>
      <w:docPartBody>
        <w:p w:rsidR="00263F76" w:rsidRDefault="002671FD" w:rsidP="002671FD">
          <w:pPr>
            <w:pStyle w:val="55E849078ABF42F7BF6F73C24A8944EB"/>
          </w:pPr>
          <w:r w:rsidRPr="003D3774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FD"/>
    <w:rsid w:val="000719A9"/>
    <w:rsid w:val="00124E50"/>
    <w:rsid w:val="00133E8A"/>
    <w:rsid w:val="001C1E72"/>
    <w:rsid w:val="002515AA"/>
    <w:rsid w:val="00251709"/>
    <w:rsid w:val="00263F76"/>
    <w:rsid w:val="002671FD"/>
    <w:rsid w:val="00303C4C"/>
    <w:rsid w:val="003146E6"/>
    <w:rsid w:val="00395926"/>
    <w:rsid w:val="003E5058"/>
    <w:rsid w:val="004263C8"/>
    <w:rsid w:val="004364C2"/>
    <w:rsid w:val="004A7A3F"/>
    <w:rsid w:val="004E6C7C"/>
    <w:rsid w:val="005C528D"/>
    <w:rsid w:val="00634140"/>
    <w:rsid w:val="0065547F"/>
    <w:rsid w:val="006F0050"/>
    <w:rsid w:val="006F3665"/>
    <w:rsid w:val="007236B8"/>
    <w:rsid w:val="00756278"/>
    <w:rsid w:val="00792EBD"/>
    <w:rsid w:val="007F4311"/>
    <w:rsid w:val="00854738"/>
    <w:rsid w:val="0097351D"/>
    <w:rsid w:val="009866E5"/>
    <w:rsid w:val="009C0C9A"/>
    <w:rsid w:val="009D0B75"/>
    <w:rsid w:val="009F0490"/>
    <w:rsid w:val="00A10F96"/>
    <w:rsid w:val="00A21853"/>
    <w:rsid w:val="00A47BFE"/>
    <w:rsid w:val="00B91CB3"/>
    <w:rsid w:val="00BB6BDF"/>
    <w:rsid w:val="00BD050D"/>
    <w:rsid w:val="00C129A3"/>
    <w:rsid w:val="00C56A03"/>
    <w:rsid w:val="00CB53D4"/>
    <w:rsid w:val="00CC38F8"/>
    <w:rsid w:val="00D262C0"/>
    <w:rsid w:val="00D93BE0"/>
    <w:rsid w:val="00DB35A8"/>
    <w:rsid w:val="00DC7113"/>
    <w:rsid w:val="00E541A8"/>
    <w:rsid w:val="00ED4F73"/>
    <w:rsid w:val="00F146B1"/>
    <w:rsid w:val="00F34EB1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262C0"/>
    <w:rPr>
      <w:color w:val="808080"/>
    </w:rPr>
  </w:style>
  <w:style w:type="paragraph" w:customStyle="1" w:styleId="55E849078ABF42F7BF6F73C24A8944EB">
    <w:name w:val="55E849078ABF42F7BF6F73C24A8944EB"/>
    <w:rsid w:val="00267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B1D7-3AB0-4720-8E14-2393EA29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2025-02-03T08:43:00Z</dcterms:created>
  <dcterms:modified xsi:type="dcterms:W3CDTF">2025-07-15T06:51:00Z</dcterms:modified>
</cp:coreProperties>
</file>