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BCF900" w14:textId="77777777" w:rsidR="00980B85" w:rsidRDefault="00980B85" w:rsidP="00980B85">
      <w:pPr>
        <w:jc w:val="center"/>
        <w:rPr>
          <w:b/>
          <w:sz w:val="28"/>
        </w:rPr>
      </w:pPr>
    </w:p>
    <w:p w14:paraId="69A945FF" w14:textId="77777777" w:rsidR="00980B85" w:rsidRDefault="00980B85" w:rsidP="00980B85">
      <w:pPr>
        <w:jc w:val="center"/>
        <w:rPr>
          <w:b/>
          <w:sz w:val="28"/>
        </w:rPr>
      </w:pPr>
    </w:p>
    <w:p w14:paraId="1DEF2F0A" w14:textId="77777777" w:rsidR="00980B85" w:rsidRDefault="00980B85" w:rsidP="00980B85">
      <w:pPr>
        <w:jc w:val="center"/>
        <w:rPr>
          <w:b/>
          <w:sz w:val="28"/>
        </w:rPr>
      </w:pPr>
    </w:p>
    <w:p w14:paraId="7BEC5F95" w14:textId="77777777" w:rsidR="00980B85" w:rsidRDefault="00980B85" w:rsidP="00980B85">
      <w:pPr>
        <w:jc w:val="center"/>
        <w:rPr>
          <w:b/>
          <w:sz w:val="28"/>
        </w:rPr>
      </w:pPr>
    </w:p>
    <w:p w14:paraId="361BC5E0" w14:textId="77777777" w:rsidR="00980B85" w:rsidRDefault="00980B85" w:rsidP="00980B85">
      <w:pPr>
        <w:jc w:val="center"/>
        <w:rPr>
          <w:b/>
          <w:sz w:val="28"/>
        </w:rPr>
      </w:pPr>
    </w:p>
    <w:p w14:paraId="6282E7D5" w14:textId="77777777" w:rsidR="00980B85" w:rsidRDefault="00980B85" w:rsidP="00980B85">
      <w:pPr>
        <w:jc w:val="center"/>
        <w:rPr>
          <w:b/>
          <w:sz w:val="28"/>
        </w:rPr>
      </w:pPr>
    </w:p>
    <w:p w14:paraId="5304BED4" w14:textId="77777777" w:rsidR="00980B85" w:rsidRDefault="00980B85" w:rsidP="00980B85">
      <w:pPr>
        <w:jc w:val="center"/>
        <w:rPr>
          <w:b/>
          <w:sz w:val="28"/>
        </w:rPr>
      </w:pPr>
    </w:p>
    <w:p w14:paraId="7819ACCB" w14:textId="77777777" w:rsidR="00980B85" w:rsidRDefault="00980B85" w:rsidP="00980B85">
      <w:pPr>
        <w:jc w:val="center"/>
        <w:rPr>
          <w:b/>
          <w:sz w:val="28"/>
        </w:rPr>
      </w:pPr>
    </w:p>
    <w:p w14:paraId="0C06E986" w14:textId="77777777" w:rsidR="00980B85" w:rsidRDefault="00980B85" w:rsidP="00980B85">
      <w:pPr>
        <w:jc w:val="center"/>
        <w:rPr>
          <w:b/>
          <w:sz w:val="28"/>
        </w:rPr>
      </w:pPr>
    </w:p>
    <w:p w14:paraId="0039843D" w14:textId="77777777" w:rsidR="00D2632F" w:rsidRPr="009E3F1A" w:rsidRDefault="00980B85" w:rsidP="00980B85">
      <w:pPr>
        <w:jc w:val="center"/>
        <w:rPr>
          <w:color w:val="2E74B5" w:themeColor="accent1" w:themeShade="BF"/>
          <w:sz w:val="36"/>
        </w:rPr>
      </w:pPr>
      <w:r w:rsidRPr="009E3F1A">
        <w:rPr>
          <w:color w:val="2E74B5" w:themeColor="accent1" w:themeShade="BF"/>
          <w:sz w:val="36"/>
        </w:rPr>
        <w:t>Správa o stave plnenia investičných plánov kontrahovania k 31. 12. 2024</w:t>
      </w:r>
    </w:p>
    <w:p w14:paraId="3992C15F" w14:textId="77777777" w:rsidR="00D40655" w:rsidRPr="009E3F1A" w:rsidRDefault="00D40655" w:rsidP="00980B85">
      <w:pPr>
        <w:jc w:val="center"/>
        <w:rPr>
          <w:color w:val="2E74B5" w:themeColor="accent1" w:themeShade="BF"/>
          <w:sz w:val="36"/>
        </w:rPr>
      </w:pPr>
    </w:p>
    <w:p w14:paraId="4E112F9B" w14:textId="77777777" w:rsidR="00D40655" w:rsidRPr="009E3F1A" w:rsidRDefault="00D40655" w:rsidP="00980B85">
      <w:pPr>
        <w:jc w:val="center"/>
        <w:rPr>
          <w:color w:val="2E74B5" w:themeColor="accent1" w:themeShade="BF"/>
          <w:sz w:val="36"/>
        </w:rPr>
      </w:pPr>
    </w:p>
    <w:p w14:paraId="045C2A39" w14:textId="77777777" w:rsidR="00D40655" w:rsidRPr="009E3F1A" w:rsidRDefault="00D40655" w:rsidP="00980B85">
      <w:pPr>
        <w:jc w:val="center"/>
        <w:rPr>
          <w:color w:val="2E74B5" w:themeColor="accent1" w:themeShade="BF"/>
          <w:sz w:val="36"/>
        </w:rPr>
      </w:pPr>
    </w:p>
    <w:p w14:paraId="5ECC892C" w14:textId="77777777" w:rsidR="00D40655" w:rsidRPr="009E3F1A" w:rsidRDefault="00D40655" w:rsidP="00980B85">
      <w:pPr>
        <w:jc w:val="center"/>
        <w:rPr>
          <w:color w:val="2E74B5" w:themeColor="accent1" w:themeShade="BF"/>
          <w:sz w:val="36"/>
        </w:rPr>
      </w:pPr>
    </w:p>
    <w:p w14:paraId="67B74D3A" w14:textId="77777777" w:rsidR="00D40655" w:rsidRDefault="00D40655" w:rsidP="00980B85">
      <w:pPr>
        <w:jc w:val="center"/>
        <w:rPr>
          <w:color w:val="2E74B5" w:themeColor="accent1" w:themeShade="BF"/>
          <w:sz w:val="36"/>
        </w:rPr>
      </w:pPr>
    </w:p>
    <w:p w14:paraId="7E1A87A7" w14:textId="77777777" w:rsidR="00D40655" w:rsidRPr="009E3F1A" w:rsidRDefault="00D40655" w:rsidP="00980B85">
      <w:pPr>
        <w:jc w:val="center"/>
        <w:rPr>
          <w:color w:val="2E74B5" w:themeColor="accent1" w:themeShade="BF"/>
          <w:sz w:val="36"/>
        </w:rPr>
      </w:pPr>
    </w:p>
    <w:p w14:paraId="5AD30CD9" w14:textId="77777777" w:rsidR="009E3F1A" w:rsidRDefault="009E3F1A" w:rsidP="00D40655">
      <w:pPr>
        <w:spacing w:after="120" w:line="240" w:lineRule="auto"/>
        <w:rPr>
          <w:rFonts w:eastAsia="Times New Roman" w:cstheme="minorHAnsi"/>
          <w:color w:val="2E74B5" w:themeColor="accent1" w:themeShade="BF"/>
          <w:spacing w:val="10"/>
          <w:lang w:eastAsia="ar-SA"/>
        </w:rPr>
      </w:pPr>
    </w:p>
    <w:p w14:paraId="6F96C187" w14:textId="77777777" w:rsidR="00810C6A" w:rsidRDefault="00810C6A">
      <w:r>
        <w:br w:type="page"/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03943176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F899CB4" w14:textId="54698817" w:rsidR="00300C08" w:rsidRDefault="00300C08">
          <w:pPr>
            <w:pStyle w:val="Hlavikaobsahu"/>
          </w:pPr>
          <w:r>
            <w:t>Obsah</w:t>
          </w:r>
        </w:p>
        <w:p w14:paraId="4958C29E" w14:textId="33944E16" w:rsidR="00411B5E" w:rsidRDefault="00844027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r>
            <w:fldChar w:fldCharType="begin"/>
          </w:r>
          <w:r>
            <w:instrText xml:space="preserve"> TOC \o "1-4" \h \z \u </w:instrText>
          </w:r>
          <w:r>
            <w:fldChar w:fldCharType="separate"/>
          </w:r>
          <w:hyperlink w:anchor="_Toc193446267" w:history="1"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>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Úvod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_Toc193446267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3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6D2EF792" w14:textId="545718DB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68" w:history="1">
            <w:r w:rsidR="00411B5E" w:rsidRPr="00C72B6A">
              <w:rPr>
                <w:rStyle w:val="Hypertextovprepojenie"/>
                <w:noProof/>
              </w:rPr>
              <w:t>1.1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>Základné informácie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_Toc193446268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3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3DDC8384" w14:textId="47D62DB6" w:rsidR="00411B5E" w:rsidRDefault="00F53190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69" w:history="1"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>2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</w:t>
            </w:r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 xml:space="preserve"> investičných plánov kontrahovania k 31. decembru 2024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_Toc193446269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4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FAE32F2" w14:textId="6A907052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0" w:history="1">
            <w:r w:rsidR="00411B5E" w:rsidRPr="00C72B6A">
              <w:rPr>
                <w:rStyle w:val="Hypertextovprepojenie"/>
                <w:noProof/>
              </w:rPr>
              <w:t>2.1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Investičných plánov podľa rezortov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_Toc193446270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4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68E55F81" w14:textId="321E6B36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1" w:history="1">
            <w:r w:rsidR="00411B5E" w:rsidRPr="00C72B6A">
              <w:rPr>
                <w:rStyle w:val="Hypertextovprepojenie"/>
                <w:noProof/>
              </w:rPr>
              <w:t>2.2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Investičných plánov implementačných sekcií MIRRI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_Toc193446271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5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28DBFCA" w14:textId="25159575" w:rsidR="00411B5E" w:rsidRDefault="00F53190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2" w:history="1"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>3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rFonts w:eastAsia="Times New Roman"/>
                <w:noProof/>
                <w:lang w:eastAsia="ar-SA"/>
              </w:rPr>
              <w:t>Vyhodnotenie plnenia investičných plánov kontrahovania k 31. decembru 2024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_Toc193446272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6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53037FC0" w14:textId="7B4EBAB8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3" w:history="1">
            <w:r w:rsidR="00411B5E" w:rsidRPr="00C72B6A">
              <w:rPr>
                <w:rStyle w:val="Hypertextovprepojenie"/>
                <w:noProof/>
              </w:rPr>
              <w:t>3.1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MIRRI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_Toc193446273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6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848BAA5" w14:textId="6BB078DC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4" w:history="1">
            <w:r w:rsidR="00411B5E" w:rsidRPr="00C72B6A">
              <w:rPr>
                <w:rStyle w:val="Hypertextovprepojenie"/>
                <w:noProof/>
              </w:rPr>
              <w:t>3.1.1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Sekcia implementácie Programu Slovensko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_Toc193446274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6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292D3A3D" w14:textId="0C8E5A16" w:rsidR="00411B5E" w:rsidRDefault="00F53190">
          <w:pPr>
            <w:pStyle w:val="Obsah4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5" w:history="1">
            <w:r w:rsidR="00411B5E" w:rsidRPr="00C72B6A">
              <w:rPr>
                <w:rStyle w:val="Hypertextovprepojenie"/>
                <w:noProof/>
              </w:rPr>
              <w:t>3.1.1.1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Dôvody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_Toc193446275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7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71FF806" w14:textId="66FE75AD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6" w:history="1">
            <w:r w:rsidR="00411B5E" w:rsidRPr="00C72B6A">
              <w:rPr>
                <w:rStyle w:val="Hypertextovprepojenie"/>
                <w:noProof/>
              </w:rPr>
              <w:t>3.1.2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Sekcia implementácie projektov informatizácie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_Toc193446276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7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307ACB0F" w14:textId="0FE6694E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7" w:history="1">
            <w:r w:rsidR="00411B5E" w:rsidRPr="00C72B6A">
              <w:rPr>
                <w:rStyle w:val="Hypertextovprepojenie"/>
                <w:noProof/>
              </w:rPr>
              <w:t>3.1.3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Sekcia programovania a podpory Programu Slovensko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_Toc193446277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7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71CCBFDC" w14:textId="0B9E3E29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8" w:history="1">
            <w:r w:rsidR="00411B5E" w:rsidRPr="00C72B6A">
              <w:rPr>
                <w:rStyle w:val="Hypertextovprepojenie"/>
                <w:noProof/>
              </w:rPr>
              <w:t>3.1.4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Sekcia regionálneho rozvoja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_Toc193446278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8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56E94AB7" w14:textId="770B9BF9" w:rsidR="00411B5E" w:rsidRDefault="00F53190">
          <w:pPr>
            <w:pStyle w:val="Obsah4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79" w:history="1">
            <w:r w:rsidR="00411B5E" w:rsidRPr="00C72B6A">
              <w:rPr>
                <w:rStyle w:val="Hypertextovprepojenie"/>
                <w:noProof/>
              </w:rPr>
              <w:t>3.1.4.1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Príčiny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_Toc193446279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8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EE4289E" w14:textId="43D2BD21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0" w:history="1">
            <w:r w:rsidR="00411B5E" w:rsidRPr="00C72B6A">
              <w:rPr>
                <w:rStyle w:val="Hypertextovprepojenie"/>
                <w:noProof/>
              </w:rPr>
              <w:t>3.2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MD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_Toc193446280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8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21F722F2" w14:textId="56E5B1C0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1" w:history="1">
            <w:r w:rsidR="00411B5E" w:rsidRPr="00C72B6A">
              <w:rPr>
                <w:rStyle w:val="Hypertextovprepojenie"/>
                <w:noProof/>
              </w:rPr>
              <w:t>3.3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MŽP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_Toc193446281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9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210466D2" w14:textId="5A988939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2" w:history="1">
            <w:r w:rsidR="00411B5E" w:rsidRPr="00C72B6A">
              <w:rPr>
                <w:rStyle w:val="Hypertextovprepojenie"/>
                <w:noProof/>
              </w:rPr>
              <w:t>3.4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MH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_Toc193446282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9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0E95603" w14:textId="1BCE3143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3" w:history="1">
            <w:r w:rsidR="00411B5E" w:rsidRPr="00C72B6A">
              <w:rPr>
                <w:rStyle w:val="Hypertextovprepojenie"/>
                <w:noProof/>
              </w:rPr>
              <w:t>3.4.1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Dôvody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_Toc193446283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9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5295951E" w14:textId="36BC61EF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4" w:history="1">
            <w:r w:rsidR="00411B5E" w:rsidRPr="00C72B6A">
              <w:rPr>
                <w:rStyle w:val="Hypertextovprepojenie"/>
                <w:noProof/>
              </w:rPr>
              <w:t>3.5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SIEA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_Toc193446284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10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4F868C8B" w14:textId="150CE1DE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5" w:history="1">
            <w:r w:rsidR="00411B5E" w:rsidRPr="00C72B6A">
              <w:rPr>
                <w:rStyle w:val="Hypertextovprepojenie"/>
                <w:noProof/>
              </w:rPr>
              <w:t>3.5.1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Dôvody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_Toc193446285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10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77CA98DE" w14:textId="069242EB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6" w:history="1">
            <w:r w:rsidR="00411B5E" w:rsidRPr="00C72B6A">
              <w:rPr>
                <w:rStyle w:val="Hypertextovprepojenie"/>
                <w:noProof/>
              </w:rPr>
              <w:t>3.6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MZ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_Toc193446286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11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32577DD3" w14:textId="1A8115A2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7" w:history="1">
            <w:r w:rsidR="00411B5E" w:rsidRPr="00C72B6A">
              <w:rPr>
                <w:rStyle w:val="Hypertextovprepojenie"/>
                <w:noProof/>
              </w:rPr>
              <w:t>3.6.1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Dôvody 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_Toc193446287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11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6182E72F" w14:textId="6D530AAE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8" w:history="1">
            <w:r w:rsidR="00411B5E" w:rsidRPr="00C72B6A">
              <w:rPr>
                <w:rStyle w:val="Hypertextovprepojenie"/>
                <w:noProof/>
                <w:lang w:eastAsia="sk-SK"/>
              </w:rPr>
              <w:t>3.7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 xml:space="preserve">Plnenie investičného plánu kontrahovania za </w:t>
            </w:r>
            <w:r w:rsidR="00411B5E" w:rsidRPr="00C72B6A">
              <w:rPr>
                <w:rStyle w:val="Hypertextovprepojenie"/>
                <w:noProof/>
                <w:lang w:eastAsia="sk-SK"/>
              </w:rPr>
              <w:t>MV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_Toc193446288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12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75EBE69D" w14:textId="51F84854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89" w:history="1">
            <w:r w:rsidR="00411B5E" w:rsidRPr="00C72B6A">
              <w:rPr>
                <w:rStyle w:val="Hypertextovprepojenie"/>
                <w:noProof/>
              </w:rPr>
              <w:t>3.8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ÚV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_Toc193446289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12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75FB0E7E" w14:textId="4D09B4ED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90" w:history="1">
            <w:r w:rsidR="00411B5E" w:rsidRPr="00C72B6A">
              <w:rPr>
                <w:rStyle w:val="Hypertextovprepojenie"/>
                <w:noProof/>
              </w:rPr>
              <w:t>3.9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MPSVR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_Toc193446290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12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3B67E28C" w14:textId="19F184A7" w:rsidR="00411B5E" w:rsidRDefault="00F53190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91" w:history="1">
            <w:r w:rsidR="00411B5E" w:rsidRPr="00C72B6A">
              <w:rPr>
                <w:rStyle w:val="Hypertextovprepojenie"/>
                <w:noProof/>
              </w:rPr>
              <w:t>3.10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Plnenie investičného plánu kontrahovania za MŠVVM SR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_Toc193446291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13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1B6AE88F" w14:textId="2DDA9BF7" w:rsidR="00411B5E" w:rsidRDefault="00F53190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193446292" w:history="1">
            <w:r w:rsidR="00411B5E" w:rsidRPr="00C72B6A">
              <w:rPr>
                <w:rStyle w:val="Hypertextovprepojenie"/>
                <w:noProof/>
              </w:rPr>
              <w:t>3.10.1</w:t>
            </w:r>
            <w:r w:rsidR="00411B5E">
              <w:rPr>
                <w:rFonts w:eastAsiaTheme="minorEastAsia"/>
                <w:noProof/>
                <w:lang w:eastAsia="sk-SK"/>
              </w:rPr>
              <w:tab/>
            </w:r>
            <w:r w:rsidR="00411B5E" w:rsidRPr="00C72B6A">
              <w:rPr>
                <w:rStyle w:val="Hypertextovprepojenie"/>
                <w:noProof/>
              </w:rPr>
              <w:t>Dôvody  nenaplnenia Investičného plánu</w:t>
            </w:r>
            <w:r w:rsidR="00411B5E">
              <w:rPr>
                <w:noProof/>
                <w:webHidden/>
              </w:rPr>
              <w:tab/>
            </w:r>
            <w:r w:rsidR="00411B5E">
              <w:rPr>
                <w:noProof/>
                <w:webHidden/>
              </w:rPr>
              <w:fldChar w:fldCharType="begin"/>
            </w:r>
            <w:r w:rsidR="00411B5E">
              <w:rPr>
                <w:noProof/>
                <w:webHidden/>
              </w:rPr>
              <w:instrText xml:space="preserve"> PAGEREF _Toc193446292 \h </w:instrText>
            </w:r>
            <w:r w:rsidR="00411B5E">
              <w:rPr>
                <w:noProof/>
                <w:webHidden/>
              </w:rPr>
            </w:r>
            <w:r w:rsidR="00411B5E">
              <w:rPr>
                <w:noProof/>
                <w:webHidden/>
              </w:rPr>
              <w:fldChar w:fldCharType="separate"/>
            </w:r>
            <w:r w:rsidR="00411B5E">
              <w:rPr>
                <w:noProof/>
                <w:webHidden/>
              </w:rPr>
              <w:t>13</w:t>
            </w:r>
            <w:r w:rsidR="00411B5E">
              <w:rPr>
                <w:noProof/>
                <w:webHidden/>
              </w:rPr>
              <w:fldChar w:fldCharType="end"/>
            </w:r>
          </w:hyperlink>
        </w:p>
        <w:p w14:paraId="1217D440" w14:textId="3339BEC8" w:rsidR="00300C08" w:rsidRDefault="00844027">
          <w:r>
            <w:fldChar w:fldCharType="end"/>
          </w:r>
        </w:p>
      </w:sdtContent>
    </w:sdt>
    <w:p w14:paraId="373664C1" w14:textId="77777777" w:rsidR="00300C08" w:rsidRDefault="00300C08" w:rsidP="00300C08">
      <w:pPr>
        <w:rPr>
          <w:lang w:eastAsia="ar-SA"/>
        </w:rPr>
      </w:pPr>
      <w:r>
        <w:rPr>
          <w:lang w:eastAsia="ar-SA"/>
        </w:rPr>
        <w:br w:type="page"/>
      </w:r>
    </w:p>
    <w:p w14:paraId="3CC42139" w14:textId="77777777" w:rsidR="00D40655" w:rsidRDefault="00D40655" w:rsidP="002336FE">
      <w:pPr>
        <w:pStyle w:val="Nadpis1"/>
        <w:rPr>
          <w:rFonts w:eastAsia="Times New Roman"/>
          <w:lang w:eastAsia="ar-SA"/>
        </w:rPr>
      </w:pPr>
      <w:bookmarkStart w:id="0" w:name="_Toc193446267"/>
      <w:r w:rsidRPr="002336FE">
        <w:lastRenderedPageBreak/>
        <w:t>Úvod</w:t>
      </w:r>
      <w:bookmarkEnd w:id="0"/>
    </w:p>
    <w:p w14:paraId="4B3B4AC4" w14:textId="77777777" w:rsidR="00D40655" w:rsidRPr="00D40655" w:rsidRDefault="00D40655" w:rsidP="002336FE">
      <w:pPr>
        <w:pStyle w:val="Nadpis2"/>
        <w:rPr>
          <w:b/>
          <w:sz w:val="24"/>
        </w:rPr>
      </w:pPr>
      <w:bookmarkStart w:id="1" w:name="_Toc193446268"/>
      <w:r>
        <w:rPr>
          <w:rFonts w:eastAsia="Times New Roman"/>
          <w:lang w:eastAsia="ar-SA"/>
        </w:rPr>
        <w:t>Základné informácie</w:t>
      </w:r>
      <w:bookmarkEnd w:id="1"/>
    </w:p>
    <w:p w14:paraId="3CB030D9" w14:textId="77777777" w:rsidR="00C17D62" w:rsidRDefault="00C17D62" w:rsidP="00FF71B2">
      <w:pPr>
        <w:spacing w:after="120"/>
        <w:jc w:val="both"/>
      </w:pPr>
      <w:r>
        <w:t>Ministerstvo</w:t>
      </w:r>
      <w:r w:rsidRPr="00BC1817">
        <w:t xml:space="preserve"> </w:t>
      </w:r>
      <w:r w:rsidRPr="00CB14DB">
        <w:t>investícií, regionálneho rozvoja a informatizácie S</w:t>
      </w:r>
      <w:r>
        <w:t>lovenskej republiky</w:t>
      </w:r>
      <w:r w:rsidRPr="00CB14DB">
        <w:t xml:space="preserve"> </w:t>
      </w:r>
      <w:r>
        <w:t xml:space="preserve">(ďalej len „MIRRI SR“) </w:t>
      </w:r>
      <w:r w:rsidRPr="00CB14DB">
        <w:t>ako</w:t>
      </w:r>
      <w:r>
        <w:t xml:space="preserve"> r</w:t>
      </w:r>
      <w:r w:rsidRPr="00C15290">
        <w:t xml:space="preserve">iadiaci orgán </w:t>
      </w:r>
      <w:r>
        <w:t>pre Program Slovensko</w:t>
      </w:r>
      <w:r w:rsidR="00C178DE">
        <w:t xml:space="preserve"> (ďalej len „P SK“)</w:t>
      </w:r>
      <w:r>
        <w:t xml:space="preserve"> </w:t>
      </w:r>
      <w:r w:rsidR="00FF71B2">
        <w:t>definoval</w:t>
      </w:r>
      <w:r w:rsidR="00FF71B2" w:rsidRPr="00FF71B2">
        <w:t xml:space="preserve"> </w:t>
      </w:r>
      <w:r w:rsidR="00FF71B2" w:rsidRPr="00C15290">
        <w:t>Investičný plán</w:t>
      </w:r>
      <w:r w:rsidR="00550257">
        <w:t>, ktorý tvorí</w:t>
      </w:r>
      <w:r w:rsidR="00FF71B2">
        <w:t> Príloh</w:t>
      </w:r>
      <w:r w:rsidR="00550257">
        <w:t>u</w:t>
      </w:r>
      <w:r w:rsidR="00FF71B2">
        <w:t xml:space="preserve"> č. 1</w:t>
      </w:r>
      <w:r w:rsidR="00550257">
        <w:t xml:space="preserve"> </w:t>
      </w:r>
      <w:r w:rsidRPr="00C15290">
        <w:t>zml</w:t>
      </w:r>
      <w:r w:rsidR="00FF71B2">
        <w:t>úv</w:t>
      </w:r>
      <w:r w:rsidRPr="00C15290">
        <w:t xml:space="preserve"> o poverení na</w:t>
      </w:r>
      <w:r>
        <w:t> </w:t>
      </w:r>
      <w:r w:rsidRPr="00C15290">
        <w:t xml:space="preserve">vykonávanie časti úloh riadiaceho orgánu sprostredkovateľským orgánom a o zodpovednostiach súvisiacich s týmto poverením </w:t>
      </w:r>
      <w:r w:rsidR="006D0713">
        <w:t>(ďalej len „zmluva o poverení“) pre tieto sprostredkovateľské orgány</w:t>
      </w:r>
      <w:r w:rsidR="0039336E">
        <w:t xml:space="preserve"> (ďalej len „SO“)</w:t>
      </w:r>
      <w:r w:rsidR="006D0713">
        <w:t>:</w:t>
      </w:r>
    </w:p>
    <w:p w14:paraId="4E4EC109" w14:textId="477066E5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dopravy </w:t>
      </w:r>
      <w:r w:rsidRPr="00CB14DB">
        <w:t>S</w:t>
      </w:r>
      <w:r>
        <w:t>lovenskej republiky</w:t>
      </w:r>
      <w:r w:rsidR="00184D69">
        <w:t xml:space="preserve"> (ďalej len „MD SR“)</w:t>
      </w:r>
      <w:r>
        <w:t>,</w:t>
      </w:r>
    </w:p>
    <w:p w14:paraId="3E5045B2" w14:textId="2C63F14D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životného prostredia </w:t>
      </w:r>
      <w:r w:rsidRPr="00CB14DB">
        <w:t>S</w:t>
      </w:r>
      <w:r>
        <w:t>lovenskej republiky</w:t>
      </w:r>
      <w:r w:rsidR="00184D69">
        <w:t xml:space="preserve"> (ďalej len „MŽP SR“)</w:t>
      </w:r>
      <w:r>
        <w:t>,</w:t>
      </w:r>
    </w:p>
    <w:p w14:paraId="288E85D2" w14:textId="264C9C04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hospodárstva </w:t>
      </w:r>
      <w:r w:rsidRPr="00CB14DB">
        <w:t>S</w:t>
      </w:r>
      <w:r>
        <w:t>lovenskej republiky</w:t>
      </w:r>
      <w:r w:rsidR="00184D69">
        <w:t xml:space="preserve"> (ďalej len „MH SR“)</w:t>
      </w:r>
      <w:r>
        <w:t>,</w:t>
      </w:r>
    </w:p>
    <w:p w14:paraId="7EB0A00D" w14:textId="119CD57B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>Slovenská inovačná a energetická agentúra</w:t>
      </w:r>
      <w:r w:rsidR="00184D69">
        <w:t xml:space="preserve"> (ďalej len „SIEA“)</w:t>
      </w:r>
      <w:r>
        <w:t>,</w:t>
      </w:r>
    </w:p>
    <w:p w14:paraId="58F91FF6" w14:textId="1DFC293F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zdravotníctva </w:t>
      </w:r>
      <w:r w:rsidRPr="00CB14DB">
        <w:t>S</w:t>
      </w:r>
      <w:r>
        <w:t>lovenskej republiky</w:t>
      </w:r>
      <w:r w:rsidR="00184D69">
        <w:t xml:space="preserve"> (ďalej len „MZ SR“)</w:t>
      </w:r>
      <w:r>
        <w:t>,</w:t>
      </w:r>
    </w:p>
    <w:p w14:paraId="684C0957" w14:textId="43B0485E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vnútra </w:t>
      </w:r>
      <w:r w:rsidRPr="00CB14DB">
        <w:t>S</w:t>
      </w:r>
      <w:r>
        <w:t>lovenskej republiky</w:t>
      </w:r>
      <w:r w:rsidR="00184D69">
        <w:t xml:space="preserve"> (ďalej len „MV SR“)</w:t>
      </w:r>
      <w:r>
        <w:t>,</w:t>
      </w:r>
    </w:p>
    <w:p w14:paraId="480F3ACD" w14:textId="45EF58FA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Úrad vlády </w:t>
      </w:r>
      <w:r w:rsidRPr="00CB14DB">
        <w:t>S</w:t>
      </w:r>
      <w:r>
        <w:t>lovenskej republiky</w:t>
      </w:r>
      <w:r w:rsidR="00184D69">
        <w:t xml:space="preserve"> (ďalej len „ÚV SR“)</w:t>
      </w:r>
      <w:r>
        <w:t>,</w:t>
      </w:r>
    </w:p>
    <w:p w14:paraId="0B4FAF68" w14:textId="5FC98D69" w:rsidR="00C17D62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 xml:space="preserve">Ministerstvo práce, sociálnych vecí a rodiny </w:t>
      </w:r>
      <w:r w:rsidRPr="00CB14DB">
        <w:t>S</w:t>
      </w:r>
      <w:r>
        <w:t>lovenskej republiky</w:t>
      </w:r>
      <w:r w:rsidR="00184D69">
        <w:t xml:space="preserve"> (ďalej len „MPSVR SR“)</w:t>
      </w:r>
      <w:r>
        <w:t>,</w:t>
      </w:r>
    </w:p>
    <w:p w14:paraId="0B08CF99" w14:textId="6A761855" w:rsidR="00C17D62" w:rsidRDefault="00C17D62" w:rsidP="00FF71B2">
      <w:pPr>
        <w:pStyle w:val="Odsekzoznamu"/>
        <w:numPr>
          <w:ilvl w:val="0"/>
          <w:numId w:val="2"/>
        </w:numPr>
        <w:spacing w:after="120" w:line="240" w:lineRule="auto"/>
        <w:ind w:left="284" w:hanging="284"/>
        <w:contextualSpacing w:val="0"/>
        <w:jc w:val="both"/>
      </w:pPr>
      <w:r>
        <w:t xml:space="preserve">Ministerstvo školstva, výskumu, vývoja a mládeže </w:t>
      </w:r>
      <w:r w:rsidRPr="00CB14DB">
        <w:t>S</w:t>
      </w:r>
      <w:r>
        <w:t>lovenskej republiky</w:t>
      </w:r>
      <w:r w:rsidR="00184D69">
        <w:t xml:space="preserve"> (ďalej len „</w:t>
      </w:r>
      <w:r w:rsidR="00184D69">
        <w:rPr>
          <w:rStyle w:val="normaltextrun"/>
          <w:rFonts w:ascii="Calibri" w:eastAsiaTheme="majorEastAsia" w:hAnsi="Calibri" w:cs="Calibri"/>
        </w:rPr>
        <w:t>MŠVVM SR“)</w:t>
      </w:r>
      <w:r>
        <w:t>.</w:t>
      </w:r>
    </w:p>
    <w:p w14:paraId="6C10D781" w14:textId="77777777" w:rsidR="006246C0" w:rsidRPr="006246C0" w:rsidRDefault="006246C0" w:rsidP="006246C0">
      <w:pPr>
        <w:spacing w:after="120" w:line="240" w:lineRule="auto"/>
        <w:jc w:val="both"/>
        <w:rPr>
          <w:rStyle w:val="normaltextrun"/>
          <w:rFonts w:ascii="Calibri" w:eastAsiaTheme="majorEastAsia" w:hAnsi="Calibri" w:cs="Calibri"/>
        </w:rPr>
      </w:pPr>
    </w:p>
    <w:p w14:paraId="5D284F2C" w14:textId="068BDB9B" w:rsidR="00C17D62" w:rsidRPr="00C15290" w:rsidRDefault="00C17D62" w:rsidP="006246C0">
      <w:pPr>
        <w:spacing w:after="120" w:line="240" w:lineRule="auto"/>
        <w:jc w:val="both"/>
      </w:pPr>
      <w:r w:rsidRPr="006246C0">
        <w:rPr>
          <w:rStyle w:val="normaltextrun"/>
          <w:rFonts w:ascii="Calibri" w:eastAsiaTheme="majorEastAsia" w:hAnsi="Calibri" w:cs="Calibri"/>
        </w:rPr>
        <w:t>I</w:t>
      </w:r>
      <w:r w:rsidRPr="00C15290">
        <w:t xml:space="preserve">nvestičný plán </w:t>
      </w:r>
      <w:r w:rsidR="00330E7D">
        <w:t>SO</w:t>
      </w:r>
      <w:r>
        <w:t xml:space="preserve"> tvorí neoddeliteľnú súčasť zmluvy o poverení a </w:t>
      </w:r>
      <w:r w:rsidRPr="00C15290">
        <w:t>predstavuje:</w:t>
      </w:r>
    </w:p>
    <w:p w14:paraId="6E72269F" w14:textId="77777777" w:rsidR="00C17D62" w:rsidRPr="00C15290" w:rsidRDefault="00C17D6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 w:rsidRPr="00C15290">
        <w:t xml:space="preserve">časť </w:t>
      </w:r>
      <w:r w:rsidR="00C178DE">
        <w:t xml:space="preserve">P SK </w:t>
      </w:r>
      <w:r w:rsidRPr="00C15290">
        <w:t>v členení podľa cieľov politiky, špecifických cieľov a opatrení (ak</w:t>
      </w:r>
      <w:r>
        <w:t> </w:t>
      </w:r>
      <w:r w:rsidRPr="00C15290">
        <w:t>relevantné) s určením zdroja E</w:t>
      </w:r>
      <w:r>
        <w:t>urópskej únie</w:t>
      </w:r>
      <w:r w:rsidRPr="00C15290">
        <w:t xml:space="preserve"> v členení podľa fondu a kategórie regiónov (ak</w:t>
      </w:r>
      <w:r>
        <w:t> </w:t>
      </w:r>
      <w:r w:rsidRPr="00C15290">
        <w:t>relevantné)</w:t>
      </w:r>
      <w:r w:rsidR="006D0713">
        <w:t>,</w:t>
      </w:r>
    </w:p>
    <w:p w14:paraId="2C408139" w14:textId="77777777" w:rsidR="00C17D62" w:rsidRPr="00C15290" w:rsidRDefault="00C17D62" w:rsidP="00FF71B2">
      <w:pPr>
        <w:pStyle w:val="Odsekzoznamu"/>
        <w:numPr>
          <w:ilvl w:val="0"/>
          <w:numId w:val="2"/>
        </w:numPr>
        <w:spacing w:after="120" w:line="240" w:lineRule="auto"/>
        <w:ind w:left="284" w:hanging="284"/>
        <w:contextualSpacing w:val="0"/>
        <w:jc w:val="both"/>
      </w:pPr>
      <w:r w:rsidRPr="00C15290">
        <w:t xml:space="preserve">plán vybraných parametrov implementácie časti </w:t>
      </w:r>
      <w:r w:rsidR="00C178DE">
        <w:t>P SK</w:t>
      </w:r>
      <w:r w:rsidRPr="00C15290">
        <w:t xml:space="preserve">, medzi ktoré patria </w:t>
      </w:r>
      <w:r>
        <w:t xml:space="preserve">kumulatívne </w:t>
      </w:r>
      <w:r w:rsidRPr="00C15290">
        <w:t>limity čerpania</w:t>
      </w:r>
      <w:r w:rsidRPr="00C15290">
        <w:rPr>
          <w:rStyle w:val="Odkaznapoznmkupodiarou"/>
        </w:rPr>
        <w:footnoteReference w:id="1"/>
      </w:r>
      <w:r w:rsidRPr="00C15290">
        <w:t xml:space="preserve"> záväzkov a</w:t>
      </w:r>
      <w:r>
        <w:t xml:space="preserve"> limity </w:t>
      </w:r>
      <w:r w:rsidRPr="00C15290">
        <w:t>kontrahovania</w:t>
      </w:r>
      <w:r w:rsidRPr="00C15290">
        <w:rPr>
          <w:rStyle w:val="Odkaznapoznmkupodiarou"/>
        </w:rPr>
        <w:footnoteReference w:id="2"/>
      </w:r>
      <w:r w:rsidRPr="00C15290">
        <w:t xml:space="preserve"> (zazmluvnenia) alokácie </w:t>
      </w:r>
      <w:r w:rsidR="00C178DE">
        <w:t xml:space="preserve">P SK </w:t>
      </w:r>
      <w:r w:rsidRPr="00C15290">
        <w:t xml:space="preserve">v gescii </w:t>
      </w:r>
      <w:r w:rsidR="00330E7D">
        <w:t>SO</w:t>
      </w:r>
      <w:r w:rsidRPr="00C15290">
        <w:t>.</w:t>
      </w:r>
    </w:p>
    <w:p w14:paraId="41AA2B11" w14:textId="77777777" w:rsidR="006246C0" w:rsidRPr="006246C0" w:rsidRDefault="006246C0" w:rsidP="006246C0">
      <w:pPr>
        <w:spacing w:after="120" w:line="240" w:lineRule="auto"/>
        <w:jc w:val="both"/>
        <w:rPr>
          <w:rStyle w:val="normaltextrun"/>
          <w:rFonts w:ascii="Calibri" w:eastAsiaTheme="majorEastAsia" w:hAnsi="Calibri" w:cs="Calibri"/>
        </w:rPr>
      </w:pPr>
    </w:p>
    <w:p w14:paraId="38431054" w14:textId="77777777" w:rsidR="00FF71B2" w:rsidRPr="00E40040" w:rsidRDefault="00C17D62" w:rsidP="006246C0">
      <w:pPr>
        <w:spacing w:after="120" w:line="240" w:lineRule="auto"/>
        <w:jc w:val="both"/>
      </w:pPr>
      <w:r w:rsidRPr="006246C0">
        <w:rPr>
          <w:rStyle w:val="normaltextrun"/>
          <w:rFonts w:ascii="Calibri" w:eastAsiaTheme="majorEastAsia" w:hAnsi="Calibri" w:cs="Calibri"/>
        </w:rPr>
        <w:t>V</w:t>
      </w:r>
      <w:r w:rsidRPr="00CB14DB">
        <w:t> gescii M</w:t>
      </w:r>
      <w:r>
        <w:t>IRRI SR</w:t>
      </w:r>
      <w:r w:rsidRPr="00CB14DB">
        <w:t xml:space="preserve"> ako riadiaceho orgánu pre </w:t>
      </w:r>
      <w:r w:rsidR="00C178DE">
        <w:t xml:space="preserve">P SK </w:t>
      </w:r>
      <w:r w:rsidRPr="00CB14DB">
        <w:t xml:space="preserve">je taktiež časť </w:t>
      </w:r>
      <w:r w:rsidR="00C178DE">
        <w:t>P SK</w:t>
      </w:r>
      <w:r w:rsidRPr="00CB14DB">
        <w:t xml:space="preserve">, ktorá je implementovaná príslušnými </w:t>
      </w:r>
      <w:r w:rsidR="0039336E">
        <w:t xml:space="preserve">implementačnými sekciami (ďalej len „IS“) </w:t>
      </w:r>
      <w:r w:rsidRPr="00CB14DB">
        <w:t>MIRRI SR</w:t>
      </w:r>
      <w:r w:rsidR="00FF71B2">
        <w:t xml:space="preserve">, </w:t>
      </w:r>
      <w:r w:rsidR="00FF71B2" w:rsidRPr="00E40040">
        <w:t xml:space="preserve">ktoré plnia stanovené úlohy riadiaceho orgánu pre </w:t>
      </w:r>
      <w:r w:rsidR="00C62A44">
        <w:t>P SK</w:t>
      </w:r>
      <w:r w:rsidR="00FF71B2" w:rsidRPr="00E40040">
        <w:t>:</w:t>
      </w:r>
    </w:p>
    <w:p w14:paraId="7FD64898" w14:textId="77777777" w:rsidR="00FF71B2" w:rsidRPr="00E40040" w:rsidRDefault="00FF71B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 w:rsidRPr="00E40040">
        <w:t xml:space="preserve">sekcia </w:t>
      </w:r>
      <w:r w:rsidRPr="003A5CEF">
        <w:t>implementácie Programu Slovensko</w:t>
      </w:r>
      <w:r w:rsidR="005A585C">
        <w:t xml:space="preserve"> (ďalej len „SIPS“)</w:t>
      </w:r>
      <w:r>
        <w:t>,</w:t>
      </w:r>
    </w:p>
    <w:p w14:paraId="5AABE681" w14:textId="77777777" w:rsidR="00FF71B2" w:rsidRPr="00E40040" w:rsidRDefault="00FF71B2" w:rsidP="00FF71B2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 w:rsidRPr="00E40040">
        <w:t>sekcia implementácie projektov informatizácie</w:t>
      </w:r>
      <w:r w:rsidR="000E3A99">
        <w:t xml:space="preserve"> </w:t>
      </w:r>
      <w:r w:rsidR="005A585C">
        <w:t>(ďalej len „SIP</w:t>
      </w:r>
      <w:r w:rsidR="001A6BBD">
        <w:t>I</w:t>
      </w:r>
      <w:r w:rsidR="005A585C">
        <w:t>“)</w:t>
      </w:r>
      <w:r>
        <w:t>,</w:t>
      </w:r>
    </w:p>
    <w:p w14:paraId="0FB6C34D" w14:textId="77777777" w:rsidR="00715649" w:rsidRDefault="00FF71B2" w:rsidP="00C90918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 w:rsidRPr="00E40040">
        <w:t xml:space="preserve">sekcia </w:t>
      </w:r>
      <w:r w:rsidRPr="003A5CEF">
        <w:t>programovania a podpory Programu Slovensko</w:t>
      </w:r>
      <w:r w:rsidR="000E3A99">
        <w:t xml:space="preserve"> </w:t>
      </w:r>
      <w:r w:rsidR="005A585C">
        <w:t>(ďalej len „SP</w:t>
      </w:r>
      <w:r w:rsidR="00CC6C67">
        <w:t>P</w:t>
      </w:r>
      <w:r w:rsidR="005A585C">
        <w:t>PS“)</w:t>
      </w:r>
      <w:r w:rsidR="00C90918">
        <w:t>,</w:t>
      </w:r>
    </w:p>
    <w:p w14:paraId="716F0BAE" w14:textId="77777777" w:rsidR="00C90918" w:rsidRDefault="00C90918" w:rsidP="00C90918">
      <w:pPr>
        <w:pStyle w:val="Odsekzoznamu"/>
        <w:numPr>
          <w:ilvl w:val="0"/>
          <w:numId w:val="2"/>
        </w:numPr>
        <w:spacing w:after="0" w:line="240" w:lineRule="auto"/>
        <w:ind w:left="284" w:hanging="284"/>
        <w:contextualSpacing w:val="0"/>
        <w:jc w:val="both"/>
      </w:pPr>
      <w:r>
        <w:t>sekcia regionálneho rozvoja</w:t>
      </w:r>
      <w:r w:rsidR="000E3A99">
        <w:t xml:space="preserve"> </w:t>
      </w:r>
      <w:r w:rsidR="005A585C">
        <w:t>(ďalej len „SRR“)</w:t>
      </w:r>
      <w:r>
        <w:t>.</w:t>
      </w:r>
    </w:p>
    <w:p w14:paraId="4C200094" w14:textId="77777777" w:rsidR="002F1232" w:rsidRPr="006246C0" w:rsidRDefault="002F1232" w:rsidP="002F1232">
      <w:pPr>
        <w:spacing w:after="120" w:line="240" w:lineRule="auto"/>
        <w:jc w:val="both"/>
        <w:rPr>
          <w:rStyle w:val="normaltextrun"/>
          <w:rFonts w:ascii="Calibri" w:eastAsiaTheme="majorEastAsia" w:hAnsi="Calibri" w:cs="Calibri"/>
        </w:rPr>
      </w:pPr>
    </w:p>
    <w:p w14:paraId="02C31D0A" w14:textId="77777777" w:rsidR="000128E3" w:rsidRDefault="002F1232" w:rsidP="002F1232">
      <w:pPr>
        <w:spacing w:after="120" w:line="240" w:lineRule="auto"/>
        <w:jc w:val="both"/>
      </w:pPr>
      <w:r w:rsidRPr="006246C0">
        <w:rPr>
          <w:rStyle w:val="normaltextrun"/>
          <w:rFonts w:ascii="Calibri" w:eastAsiaTheme="majorEastAsia" w:hAnsi="Calibri" w:cs="Calibri"/>
        </w:rPr>
        <w:t>Pl</w:t>
      </w:r>
      <w:r>
        <w:t>nenie záväzkov kontrahovania (zazmluvnenia) sa sleduje k 31. decembru 2024 a k 31. decembru 2026</w:t>
      </w:r>
      <w:r w:rsidR="00D547E7">
        <w:t>.</w:t>
      </w:r>
      <w:r w:rsidR="00D80A14">
        <w:t xml:space="preserve"> </w:t>
      </w:r>
      <w:r w:rsidR="00D547E7">
        <w:t>P</w:t>
      </w:r>
      <w:r>
        <w:t>lnenie kumulatívnych li</w:t>
      </w:r>
      <w:r w:rsidR="00D547E7">
        <w:t>mitov čerpania ročných záväzkov sa sleduje k</w:t>
      </w:r>
      <w:r w:rsidR="00D547E7" w:rsidRPr="00D547E7">
        <w:t> 31. decembru 2025,</w:t>
      </w:r>
      <w:r w:rsidR="007D7024">
        <w:br/>
      </w:r>
      <w:r w:rsidR="00D547E7" w:rsidRPr="00D547E7">
        <w:t>31. decembru 2026, 31. decembru 2027, 31. decembru 2028 a k 31. decembru 2029.</w:t>
      </w:r>
    </w:p>
    <w:p w14:paraId="123DB1FF" w14:textId="77777777" w:rsidR="007D7024" w:rsidRDefault="007D7024">
      <w:r>
        <w:br w:type="page"/>
      </w:r>
    </w:p>
    <w:p w14:paraId="63E2414E" w14:textId="77777777" w:rsidR="00DA59E9" w:rsidRPr="00526454" w:rsidRDefault="006246C0" w:rsidP="002336FE">
      <w:pPr>
        <w:pStyle w:val="Nadpis1"/>
        <w:rPr>
          <w:rFonts w:eastAsia="Times New Roman"/>
          <w:lang w:eastAsia="ar-SA"/>
        </w:rPr>
      </w:pPr>
      <w:bookmarkStart w:id="2" w:name="_Toc193446269"/>
      <w:r w:rsidRPr="002336FE">
        <w:lastRenderedPageBreak/>
        <w:t>P</w:t>
      </w:r>
      <w:r w:rsidR="00DA4A4F" w:rsidRPr="002336FE">
        <w:t>lneni</w:t>
      </w:r>
      <w:r w:rsidRPr="002336FE">
        <w:t>e</w:t>
      </w:r>
      <w:r w:rsidR="00DA4A4F" w:rsidRPr="00526454">
        <w:rPr>
          <w:rFonts w:eastAsia="Times New Roman"/>
          <w:lang w:eastAsia="ar-SA"/>
        </w:rPr>
        <w:t xml:space="preserve"> investičných plánov</w:t>
      </w:r>
      <w:r w:rsidRPr="00526454">
        <w:rPr>
          <w:rFonts w:eastAsia="Times New Roman"/>
          <w:lang w:eastAsia="ar-SA"/>
        </w:rPr>
        <w:t xml:space="preserve"> </w:t>
      </w:r>
      <w:r w:rsidR="00775AB5" w:rsidRPr="00526454">
        <w:rPr>
          <w:rFonts w:eastAsia="Times New Roman"/>
          <w:lang w:eastAsia="ar-SA"/>
        </w:rPr>
        <w:t>k</w:t>
      </w:r>
      <w:r w:rsidR="00DA4A4F" w:rsidRPr="00526454">
        <w:rPr>
          <w:rFonts w:eastAsia="Times New Roman"/>
          <w:lang w:eastAsia="ar-SA"/>
        </w:rPr>
        <w:t>ontrahovania</w:t>
      </w:r>
      <w:r w:rsidR="00775AB5" w:rsidRPr="00526454">
        <w:rPr>
          <w:rFonts w:eastAsia="Times New Roman"/>
          <w:lang w:eastAsia="ar-SA"/>
        </w:rPr>
        <w:t xml:space="preserve"> </w:t>
      </w:r>
      <w:r w:rsidR="00DA4A4F" w:rsidRPr="00526454">
        <w:rPr>
          <w:rFonts w:eastAsia="Times New Roman"/>
          <w:lang w:eastAsia="ar-SA"/>
        </w:rPr>
        <w:t>k 31.</w:t>
      </w:r>
      <w:r w:rsidR="00775AB5" w:rsidRPr="00526454">
        <w:rPr>
          <w:rFonts w:eastAsia="Times New Roman"/>
          <w:lang w:eastAsia="ar-SA"/>
        </w:rPr>
        <w:t xml:space="preserve"> </w:t>
      </w:r>
      <w:r w:rsidRPr="00526454">
        <w:rPr>
          <w:rFonts w:eastAsia="Times New Roman"/>
          <w:lang w:eastAsia="ar-SA"/>
        </w:rPr>
        <w:t>decembru</w:t>
      </w:r>
      <w:r w:rsidR="00775AB5" w:rsidRPr="00526454">
        <w:rPr>
          <w:rFonts w:eastAsia="Times New Roman"/>
          <w:lang w:eastAsia="ar-SA"/>
        </w:rPr>
        <w:t xml:space="preserve"> </w:t>
      </w:r>
      <w:r w:rsidR="00DA4A4F" w:rsidRPr="00526454">
        <w:rPr>
          <w:rFonts w:eastAsia="Times New Roman"/>
          <w:lang w:eastAsia="ar-SA"/>
        </w:rPr>
        <w:t>2024</w:t>
      </w:r>
      <w:bookmarkEnd w:id="2"/>
    </w:p>
    <w:p w14:paraId="79F02A9E" w14:textId="4836EC23" w:rsidR="00526454" w:rsidRDefault="00526454" w:rsidP="00526454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>P</w:t>
      </w:r>
      <w:r w:rsidRPr="00DB31AC">
        <w:rPr>
          <w:rStyle w:val="normaltextrun"/>
          <w:rFonts w:ascii="Calibri" w:eastAsiaTheme="majorEastAsia" w:hAnsi="Calibri" w:cs="Calibri"/>
          <w:sz w:val="22"/>
          <w:szCs w:val="22"/>
        </w:rPr>
        <w:t>re vyhodnotenie plnenia záväzkov kontrahovania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k 31. decembra 2024</w:t>
      </w:r>
      <w:r w:rsidRPr="00DB31A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sú použité </w:t>
      </w:r>
      <w:r w:rsidRPr="00DB31A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údaje </w:t>
      </w:r>
      <w:r w:rsidR="009D73A6">
        <w:rPr>
          <w:rStyle w:val="normaltextrun"/>
          <w:rFonts w:ascii="Calibri" w:eastAsiaTheme="majorEastAsia" w:hAnsi="Calibri" w:cs="Calibri"/>
          <w:sz w:val="22"/>
          <w:szCs w:val="22"/>
        </w:rPr>
        <w:br/>
      </w:r>
      <w:r w:rsidRPr="00DB31AC">
        <w:rPr>
          <w:rStyle w:val="normaltextrun"/>
          <w:rFonts w:ascii="Calibri" w:eastAsiaTheme="majorEastAsia" w:hAnsi="Calibri" w:cs="Calibri"/>
          <w:sz w:val="22"/>
          <w:szCs w:val="22"/>
        </w:rPr>
        <w:t>o dosiahnutom kontrahovaní z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 ITMS21+, ktoré boli </w:t>
      </w:r>
      <w:r w:rsidR="002C6302">
        <w:rPr>
          <w:rStyle w:val="normaltextrun"/>
          <w:rFonts w:ascii="Calibri" w:eastAsiaTheme="majorEastAsia" w:hAnsi="Calibri" w:cs="Calibri"/>
          <w:sz w:val="22"/>
          <w:szCs w:val="22"/>
        </w:rPr>
        <w:t>vy</w:t>
      </w:r>
      <w:r w:rsidRPr="00DB31AC">
        <w:rPr>
          <w:rStyle w:val="normaltextrun"/>
          <w:rFonts w:ascii="Calibri" w:eastAsiaTheme="majorEastAsia" w:hAnsi="Calibri" w:cs="Calibri"/>
          <w:sz w:val="22"/>
          <w:szCs w:val="22"/>
        </w:rPr>
        <w:t>exportované dňa 10. januára 2025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.</w:t>
      </w:r>
    </w:p>
    <w:p w14:paraId="0D9FF513" w14:textId="77777777" w:rsidR="00A86EA1" w:rsidRDefault="006D79F6" w:rsidP="002B0359">
      <w:pPr>
        <w:spacing w:after="120" w:line="240" w:lineRule="auto"/>
        <w:jc w:val="both"/>
        <w:rPr>
          <w:rStyle w:val="normaltextrun"/>
          <w:rFonts w:ascii="Calibri" w:eastAsiaTheme="majorEastAsia" w:hAnsi="Calibri" w:cs="Calibri"/>
        </w:rPr>
      </w:pPr>
      <w:r>
        <w:rPr>
          <w:rStyle w:val="normaltextrun"/>
          <w:rFonts w:ascii="Calibri" w:eastAsiaTheme="majorEastAsia" w:hAnsi="Calibri" w:cs="Calibri"/>
        </w:rPr>
        <w:t>Vyhodnotenie plnenia investičných plánov</w:t>
      </w:r>
      <w:r w:rsidR="00F40C7C" w:rsidRPr="00F40C7C">
        <w:rPr>
          <w:rStyle w:val="normaltextrun"/>
          <w:rFonts w:ascii="Calibri" w:eastAsiaTheme="majorEastAsia" w:hAnsi="Calibri" w:cs="Calibri"/>
        </w:rPr>
        <w:t xml:space="preserve"> kontrahovania </w:t>
      </w:r>
      <w:r>
        <w:rPr>
          <w:rStyle w:val="normaltextrun"/>
          <w:rFonts w:ascii="Calibri" w:eastAsiaTheme="majorEastAsia" w:hAnsi="Calibri" w:cs="Calibri"/>
        </w:rPr>
        <w:t>je</w:t>
      </w:r>
      <w:r w:rsidR="00F40C7C">
        <w:rPr>
          <w:rStyle w:val="normaltextrun"/>
          <w:rFonts w:ascii="Calibri" w:eastAsiaTheme="majorEastAsia" w:hAnsi="Calibri" w:cs="Calibri"/>
        </w:rPr>
        <w:t xml:space="preserve"> </w:t>
      </w:r>
      <w:r w:rsidR="00F40C7C" w:rsidRPr="00F40C7C">
        <w:rPr>
          <w:rStyle w:val="normaltextrun"/>
          <w:rFonts w:ascii="Calibri" w:eastAsiaTheme="majorEastAsia" w:hAnsi="Calibri" w:cs="Calibri"/>
        </w:rPr>
        <w:t>v zmysle navrhovaných dodatkov</w:t>
      </w:r>
      <w:r w:rsidR="002B0359">
        <w:rPr>
          <w:rStyle w:val="normaltextrun"/>
          <w:rFonts w:ascii="Calibri" w:eastAsiaTheme="majorEastAsia" w:hAnsi="Calibri" w:cs="Calibri"/>
        </w:rPr>
        <w:t>/dodatkov</w:t>
      </w:r>
      <w:r w:rsidR="00F40C7C" w:rsidRPr="00F40C7C">
        <w:rPr>
          <w:rStyle w:val="normaltextrun"/>
          <w:rFonts w:ascii="Calibri" w:eastAsiaTheme="majorEastAsia" w:hAnsi="Calibri" w:cs="Calibri"/>
        </w:rPr>
        <w:t xml:space="preserve"> </w:t>
      </w:r>
      <w:r w:rsidR="002B0359">
        <w:rPr>
          <w:rStyle w:val="normaltextrun"/>
          <w:rFonts w:ascii="Calibri" w:eastAsiaTheme="majorEastAsia" w:hAnsi="Calibri" w:cs="Calibri"/>
        </w:rPr>
        <w:t xml:space="preserve">zmlúv o poverení </w:t>
      </w:r>
      <w:r w:rsidR="00F40C7C" w:rsidRPr="00F40C7C">
        <w:rPr>
          <w:rStyle w:val="normaltextrun"/>
          <w:rFonts w:ascii="Calibri" w:eastAsiaTheme="majorEastAsia" w:hAnsi="Calibri" w:cs="Calibri"/>
        </w:rPr>
        <w:t>a Manuálu procedúr RO pre P</w:t>
      </w:r>
      <w:r w:rsidR="00F40C7C">
        <w:rPr>
          <w:rStyle w:val="normaltextrun"/>
          <w:rFonts w:ascii="Calibri" w:eastAsiaTheme="majorEastAsia" w:hAnsi="Calibri" w:cs="Calibri"/>
        </w:rPr>
        <w:t xml:space="preserve"> </w:t>
      </w:r>
      <w:r w:rsidR="00F40C7C" w:rsidRPr="00F40C7C">
        <w:rPr>
          <w:rStyle w:val="normaltextrun"/>
          <w:rFonts w:ascii="Calibri" w:eastAsiaTheme="majorEastAsia" w:hAnsi="Calibri" w:cs="Calibri"/>
        </w:rPr>
        <w:t>SK v.</w:t>
      </w:r>
      <w:r w:rsidR="00F40C7C">
        <w:rPr>
          <w:rStyle w:val="normaltextrun"/>
          <w:rFonts w:ascii="Calibri" w:eastAsiaTheme="majorEastAsia" w:hAnsi="Calibri" w:cs="Calibri"/>
        </w:rPr>
        <w:t>3.1</w:t>
      </w:r>
      <w:r w:rsidR="002B0359">
        <w:rPr>
          <w:rStyle w:val="normaltextrun"/>
          <w:rFonts w:ascii="Calibri" w:eastAsiaTheme="majorEastAsia" w:hAnsi="Calibri" w:cs="Calibri"/>
        </w:rPr>
        <w:t>.</w:t>
      </w:r>
    </w:p>
    <w:p w14:paraId="0836F2C0" w14:textId="62E0B0DC" w:rsidR="00C055EF" w:rsidRDefault="00C055EF" w:rsidP="00C055EF">
      <w:pPr>
        <w:spacing w:after="120" w:line="240" w:lineRule="auto"/>
        <w:jc w:val="both"/>
        <w:rPr>
          <w:rStyle w:val="normaltextrun"/>
          <w:rFonts w:ascii="Calibri" w:eastAsiaTheme="majorEastAsia" w:hAnsi="Calibri" w:cs="Calibri"/>
        </w:rPr>
      </w:pPr>
      <w:r w:rsidRPr="00C055EF">
        <w:rPr>
          <w:rStyle w:val="normaltextrun"/>
          <w:rFonts w:ascii="Calibri" w:eastAsiaTheme="majorEastAsia" w:hAnsi="Calibri" w:cs="Calibri"/>
          <w:b/>
        </w:rPr>
        <w:t>Dosiahnuté kontrahovanie</w:t>
      </w:r>
      <w:r w:rsidRPr="00C055EF">
        <w:rPr>
          <w:rStyle w:val="normaltextrun"/>
          <w:rFonts w:ascii="Calibri" w:eastAsiaTheme="majorEastAsia" w:hAnsi="Calibri" w:cs="Calibri"/>
        </w:rPr>
        <w:t xml:space="preserve"> </w:t>
      </w:r>
      <w:r>
        <w:rPr>
          <w:rStyle w:val="normaltextrun"/>
          <w:rFonts w:ascii="Calibri" w:eastAsiaTheme="majorEastAsia" w:hAnsi="Calibri" w:cs="Calibri"/>
        </w:rPr>
        <w:t xml:space="preserve">objemu alokácie P SK, s výnimkou Fondu na spravodlivú transformáciu </w:t>
      </w:r>
      <w:r w:rsidR="009D73A6">
        <w:rPr>
          <w:rStyle w:val="normaltextrun"/>
          <w:rFonts w:ascii="Calibri" w:eastAsiaTheme="majorEastAsia" w:hAnsi="Calibri" w:cs="Calibri"/>
        </w:rPr>
        <w:br/>
      </w:r>
      <w:r w:rsidRPr="00C055EF">
        <w:rPr>
          <w:rStyle w:val="normaltextrun"/>
          <w:rFonts w:ascii="Calibri" w:eastAsiaTheme="majorEastAsia" w:hAnsi="Calibri" w:cs="Calibri"/>
        </w:rPr>
        <w:t>k 31.</w:t>
      </w:r>
      <w:r w:rsidR="00066A90">
        <w:rPr>
          <w:rStyle w:val="normaltextrun"/>
          <w:rFonts w:ascii="Calibri" w:eastAsiaTheme="majorEastAsia" w:hAnsi="Calibri" w:cs="Calibri"/>
        </w:rPr>
        <w:t xml:space="preserve"> </w:t>
      </w:r>
      <w:r w:rsidRPr="00C055EF">
        <w:rPr>
          <w:rStyle w:val="normaltextrun"/>
          <w:rFonts w:ascii="Calibri" w:eastAsiaTheme="majorEastAsia" w:hAnsi="Calibri" w:cs="Calibri"/>
        </w:rPr>
        <w:t>12.</w:t>
      </w:r>
      <w:r w:rsidR="00066A90">
        <w:rPr>
          <w:rStyle w:val="normaltextrun"/>
          <w:rFonts w:ascii="Calibri" w:eastAsiaTheme="majorEastAsia" w:hAnsi="Calibri" w:cs="Calibri"/>
        </w:rPr>
        <w:t xml:space="preserve"> </w:t>
      </w:r>
      <w:r w:rsidRPr="00C055EF">
        <w:rPr>
          <w:rStyle w:val="normaltextrun"/>
          <w:rFonts w:ascii="Calibri" w:eastAsiaTheme="majorEastAsia" w:hAnsi="Calibri" w:cs="Calibri"/>
        </w:rPr>
        <w:t xml:space="preserve">2024 </w:t>
      </w:r>
      <w:r w:rsidRPr="00C055EF">
        <w:rPr>
          <w:rStyle w:val="normaltextrun"/>
          <w:rFonts w:ascii="Calibri" w:eastAsiaTheme="majorEastAsia" w:hAnsi="Calibri" w:cs="Calibri"/>
          <w:b/>
        </w:rPr>
        <w:t>je na úrovni 36,53</w:t>
      </w:r>
      <w:r>
        <w:rPr>
          <w:rStyle w:val="normaltextrun"/>
          <w:rFonts w:ascii="Calibri" w:eastAsiaTheme="majorEastAsia" w:hAnsi="Calibri" w:cs="Calibri"/>
          <w:b/>
        </w:rPr>
        <w:t xml:space="preserve"> </w:t>
      </w:r>
      <w:r w:rsidRPr="00C055EF">
        <w:rPr>
          <w:rStyle w:val="normaltextrun"/>
          <w:rFonts w:ascii="Calibri" w:eastAsiaTheme="majorEastAsia" w:hAnsi="Calibri" w:cs="Calibri"/>
          <w:b/>
        </w:rPr>
        <w:t>%</w:t>
      </w:r>
      <w:r w:rsidR="00BC43CF">
        <w:rPr>
          <w:rStyle w:val="Odkaznapoznmkupodiarou"/>
          <w:rFonts w:ascii="Calibri" w:eastAsiaTheme="majorEastAsia" w:hAnsi="Calibri" w:cs="Calibri"/>
          <w:b/>
        </w:rPr>
        <w:footnoteReference w:id="3"/>
      </w:r>
      <w:r w:rsidRPr="00C055EF">
        <w:rPr>
          <w:rStyle w:val="normaltextrun"/>
          <w:rFonts w:ascii="Calibri" w:eastAsiaTheme="majorEastAsia" w:hAnsi="Calibri" w:cs="Calibri"/>
        </w:rPr>
        <w:t>.</w:t>
      </w:r>
    </w:p>
    <w:p w14:paraId="3177AA6D" w14:textId="77777777" w:rsidR="002E61CC" w:rsidRDefault="002E61CC" w:rsidP="006D79F6">
      <w:pPr>
        <w:pStyle w:val="Nadpis2"/>
        <w:rPr>
          <w:rFonts w:eastAsiaTheme="minorHAnsi"/>
        </w:rPr>
      </w:pPr>
      <w:bookmarkStart w:id="3" w:name="_Toc193446270"/>
      <w:r w:rsidRPr="006D79F6">
        <w:rPr>
          <w:rFonts w:eastAsiaTheme="minorHAnsi"/>
        </w:rPr>
        <w:t>Plnenie</w:t>
      </w:r>
      <w:r w:rsidRPr="000904F2">
        <w:rPr>
          <w:rFonts w:eastAsiaTheme="minorHAnsi"/>
        </w:rPr>
        <w:t xml:space="preserve"> Investičných plánov podľa rezortov</w:t>
      </w:r>
      <w:bookmarkEnd w:id="3"/>
    </w:p>
    <w:p w14:paraId="56D1EB84" w14:textId="77777777" w:rsidR="002E61CC" w:rsidRPr="000904F2" w:rsidRDefault="002E61CC" w:rsidP="000904F2">
      <w:pPr>
        <w:pStyle w:val="paragraph"/>
        <w:spacing w:before="120" w:beforeAutospacing="0" w:after="120" w:afterAutospacing="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32"/>
        </w:rPr>
      </w:pPr>
      <w:r w:rsidRPr="000904F2">
        <w:rPr>
          <w:rFonts w:asciiTheme="minorHAnsi" w:eastAsiaTheme="minorHAnsi" w:hAnsiTheme="minorHAnsi" w:cstheme="minorHAnsi"/>
          <w:color w:val="000000" w:themeColor="text1"/>
          <w:sz w:val="22"/>
          <w:szCs w:val="32"/>
        </w:rPr>
        <w:t>Ta</w:t>
      </w:r>
      <w:r w:rsidRPr="000904F2">
        <w:rPr>
          <w:rFonts w:asciiTheme="minorHAnsi" w:hAnsiTheme="minorHAnsi" w:cstheme="minorHAnsi"/>
          <w:color w:val="000000" w:themeColor="text1"/>
          <w:sz w:val="22"/>
          <w:szCs w:val="32"/>
        </w:rPr>
        <w:t>b. č.  1 Prehľad plnenia Investičných plánov podľa rezortov</w:t>
      </w:r>
    </w:p>
    <w:tbl>
      <w:tblPr>
        <w:tblStyle w:val="Tabukasozoznamom1svetl"/>
        <w:tblW w:w="8926" w:type="dxa"/>
        <w:tblLook w:val="04A0" w:firstRow="1" w:lastRow="0" w:firstColumn="1" w:lastColumn="0" w:noHBand="0" w:noVBand="1"/>
      </w:tblPr>
      <w:tblGrid>
        <w:gridCol w:w="1314"/>
        <w:gridCol w:w="1658"/>
        <w:gridCol w:w="1737"/>
        <w:gridCol w:w="2374"/>
        <w:gridCol w:w="1843"/>
      </w:tblGrid>
      <w:tr w:rsidR="00DA59E9" w:rsidRPr="00DA59E9" w14:paraId="6E474FFA" w14:textId="77777777" w:rsidTr="001C54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4E451193" w14:textId="77777777" w:rsidR="00DA59E9" w:rsidRPr="00DA59E9" w:rsidRDefault="00DA59E9" w:rsidP="00DA59E9">
            <w:pPr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Rezort</w:t>
            </w:r>
          </w:p>
        </w:tc>
        <w:tc>
          <w:tcPr>
            <w:tcW w:w="1658" w:type="dxa"/>
            <w:vAlign w:val="center"/>
            <w:hideMark/>
          </w:tcPr>
          <w:p w14:paraId="4AC02073" w14:textId="77777777" w:rsidR="00DA59E9" w:rsidRPr="00DA59E9" w:rsidRDefault="00DA59E9" w:rsidP="00DA59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Alokácia</w:t>
            </w:r>
          </w:p>
        </w:tc>
        <w:tc>
          <w:tcPr>
            <w:tcW w:w="1737" w:type="dxa"/>
            <w:vAlign w:val="center"/>
            <w:hideMark/>
          </w:tcPr>
          <w:p w14:paraId="47A9B2C5" w14:textId="77777777" w:rsidR="00DA59E9" w:rsidRPr="00DA59E9" w:rsidRDefault="00DA59E9" w:rsidP="00DA59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Plán kontrahovania </w:t>
            </w:r>
          </w:p>
        </w:tc>
        <w:tc>
          <w:tcPr>
            <w:tcW w:w="2374" w:type="dxa"/>
            <w:vAlign w:val="center"/>
            <w:hideMark/>
          </w:tcPr>
          <w:p w14:paraId="543C04FC" w14:textId="77777777" w:rsidR="00DA59E9" w:rsidRPr="00DA59E9" w:rsidRDefault="00DA59E9" w:rsidP="00DA59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1C548F">
              <w:rPr>
                <w:rFonts w:ascii="Calibri" w:eastAsia="Times New Roman" w:hAnsi="Calibri" w:cs="Calibri"/>
                <w:bCs w:val="0"/>
                <w:color w:val="000000"/>
                <w:lang w:eastAsia="sk-SK"/>
              </w:rPr>
              <w:t>K</w:t>
            </w: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ontrahovanie (brutto) </w:t>
            </w: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br/>
              <w:t>k 31.12.2024</w:t>
            </w:r>
          </w:p>
        </w:tc>
        <w:tc>
          <w:tcPr>
            <w:tcW w:w="1843" w:type="dxa"/>
            <w:vAlign w:val="center"/>
            <w:hideMark/>
          </w:tcPr>
          <w:p w14:paraId="1D981416" w14:textId="77777777" w:rsidR="00DA59E9" w:rsidRPr="00DA59E9" w:rsidRDefault="00DA59E9" w:rsidP="00DA59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% plnenia plánu kontrahovania k 31.12.2024</w:t>
            </w:r>
          </w:p>
        </w:tc>
      </w:tr>
      <w:tr w:rsidR="00DA59E9" w:rsidRPr="00DA59E9" w14:paraId="561C5021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40D42EAB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MIRRI SR</w:t>
            </w:r>
          </w:p>
        </w:tc>
        <w:tc>
          <w:tcPr>
            <w:tcW w:w="1658" w:type="dxa"/>
            <w:vAlign w:val="center"/>
            <w:hideMark/>
          </w:tcPr>
          <w:p w14:paraId="270F31E9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2 570 569 293</w:t>
            </w:r>
          </w:p>
        </w:tc>
        <w:tc>
          <w:tcPr>
            <w:tcW w:w="1737" w:type="dxa"/>
            <w:vAlign w:val="center"/>
            <w:hideMark/>
          </w:tcPr>
          <w:p w14:paraId="0CFA7EAE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804 826 908</w:t>
            </w:r>
          </w:p>
        </w:tc>
        <w:tc>
          <w:tcPr>
            <w:tcW w:w="2374" w:type="dxa"/>
            <w:vAlign w:val="center"/>
            <w:hideMark/>
          </w:tcPr>
          <w:p w14:paraId="00DA942F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333 232 804</w:t>
            </w:r>
          </w:p>
        </w:tc>
        <w:tc>
          <w:tcPr>
            <w:tcW w:w="1843" w:type="dxa"/>
            <w:vAlign w:val="center"/>
            <w:hideMark/>
          </w:tcPr>
          <w:p w14:paraId="5C7380AD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41,40%</w:t>
            </w:r>
          </w:p>
        </w:tc>
      </w:tr>
      <w:tr w:rsidR="00DA59E9" w:rsidRPr="00DA59E9" w14:paraId="60C97F94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173ADAC8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MD SR</w:t>
            </w:r>
          </w:p>
        </w:tc>
        <w:tc>
          <w:tcPr>
            <w:tcW w:w="1658" w:type="dxa"/>
            <w:vAlign w:val="center"/>
            <w:hideMark/>
          </w:tcPr>
          <w:p w14:paraId="47E7E77F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2 978 892 419</w:t>
            </w:r>
          </w:p>
        </w:tc>
        <w:tc>
          <w:tcPr>
            <w:tcW w:w="1737" w:type="dxa"/>
            <w:vAlign w:val="center"/>
            <w:hideMark/>
          </w:tcPr>
          <w:p w14:paraId="26A8DFDC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1 136 476 381</w:t>
            </w:r>
          </w:p>
        </w:tc>
        <w:tc>
          <w:tcPr>
            <w:tcW w:w="2374" w:type="dxa"/>
            <w:vAlign w:val="center"/>
            <w:hideMark/>
          </w:tcPr>
          <w:p w14:paraId="37A0C3E7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1 148 693 317</w:t>
            </w:r>
          </w:p>
        </w:tc>
        <w:tc>
          <w:tcPr>
            <w:tcW w:w="1843" w:type="dxa"/>
            <w:vAlign w:val="center"/>
            <w:hideMark/>
          </w:tcPr>
          <w:p w14:paraId="2D884B9D" w14:textId="77777777" w:rsidR="00DA59E9" w:rsidRPr="00DA59E9" w:rsidRDefault="00DA59E9" w:rsidP="00DA59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101,07%</w:t>
            </w:r>
          </w:p>
        </w:tc>
      </w:tr>
      <w:tr w:rsidR="00DA59E9" w:rsidRPr="00DA59E9" w14:paraId="48DA228D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2D303DCA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MŽP SR</w:t>
            </w:r>
          </w:p>
        </w:tc>
        <w:tc>
          <w:tcPr>
            <w:tcW w:w="1658" w:type="dxa"/>
            <w:vAlign w:val="center"/>
            <w:hideMark/>
          </w:tcPr>
          <w:p w14:paraId="2EBF2CE0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1 724 981 090</w:t>
            </w:r>
          </w:p>
        </w:tc>
        <w:tc>
          <w:tcPr>
            <w:tcW w:w="1737" w:type="dxa"/>
            <w:vAlign w:val="center"/>
            <w:hideMark/>
          </w:tcPr>
          <w:p w14:paraId="77295394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600 048 539</w:t>
            </w:r>
          </w:p>
        </w:tc>
        <w:tc>
          <w:tcPr>
            <w:tcW w:w="2374" w:type="dxa"/>
            <w:vAlign w:val="center"/>
            <w:hideMark/>
          </w:tcPr>
          <w:p w14:paraId="07785C8A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629 296 443</w:t>
            </w:r>
          </w:p>
        </w:tc>
        <w:tc>
          <w:tcPr>
            <w:tcW w:w="1843" w:type="dxa"/>
            <w:vAlign w:val="center"/>
            <w:hideMark/>
          </w:tcPr>
          <w:p w14:paraId="2F82D2B4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104,87%</w:t>
            </w:r>
          </w:p>
        </w:tc>
      </w:tr>
      <w:tr w:rsidR="00DA59E9" w:rsidRPr="00DA59E9" w14:paraId="574DDDCA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736C48EC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MH SR</w:t>
            </w:r>
          </w:p>
        </w:tc>
        <w:tc>
          <w:tcPr>
            <w:tcW w:w="1658" w:type="dxa"/>
            <w:vAlign w:val="center"/>
            <w:hideMark/>
          </w:tcPr>
          <w:p w14:paraId="1C366D70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626 929 974</w:t>
            </w:r>
          </w:p>
        </w:tc>
        <w:tc>
          <w:tcPr>
            <w:tcW w:w="1737" w:type="dxa"/>
            <w:vAlign w:val="center"/>
            <w:hideMark/>
          </w:tcPr>
          <w:p w14:paraId="6F112425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341 796 655</w:t>
            </w:r>
          </w:p>
        </w:tc>
        <w:tc>
          <w:tcPr>
            <w:tcW w:w="2374" w:type="dxa"/>
            <w:vAlign w:val="center"/>
            <w:hideMark/>
          </w:tcPr>
          <w:p w14:paraId="7FA4A410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291 135 741</w:t>
            </w:r>
          </w:p>
        </w:tc>
        <w:tc>
          <w:tcPr>
            <w:tcW w:w="1843" w:type="dxa"/>
            <w:vAlign w:val="center"/>
            <w:hideMark/>
          </w:tcPr>
          <w:p w14:paraId="6A36E721" w14:textId="77777777" w:rsidR="00DA59E9" w:rsidRPr="00DA59E9" w:rsidRDefault="00DA59E9" w:rsidP="00DA59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85,18%</w:t>
            </w:r>
          </w:p>
        </w:tc>
      </w:tr>
      <w:tr w:rsidR="00DA59E9" w:rsidRPr="00DA59E9" w14:paraId="45407344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61427170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SIEA</w:t>
            </w:r>
          </w:p>
        </w:tc>
        <w:tc>
          <w:tcPr>
            <w:tcW w:w="1658" w:type="dxa"/>
            <w:vAlign w:val="center"/>
            <w:hideMark/>
          </w:tcPr>
          <w:p w14:paraId="4D06B479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905 229 091</w:t>
            </w:r>
          </w:p>
        </w:tc>
        <w:tc>
          <w:tcPr>
            <w:tcW w:w="1737" w:type="dxa"/>
            <w:vAlign w:val="center"/>
            <w:hideMark/>
          </w:tcPr>
          <w:p w14:paraId="1546572F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461 731 284</w:t>
            </w:r>
          </w:p>
        </w:tc>
        <w:tc>
          <w:tcPr>
            <w:tcW w:w="2374" w:type="dxa"/>
            <w:vAlign w:val="center"/>
            <w:hideMark/>
          </w:tcPr>
          <w:p w14:paraId="468B55A7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381 829 192</w:t>
            </w:r>
          </w:p>
        </w:tc>
        <w:tc>
          <w:tcPr>
            <w:tcW w:w="1843" w:type="dxa"/>
            <w:vAlign w:val="center"/>
            <w:hideMark/>
          </w:tcPr>
          <w:p w14:paraId="6A61CE9E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82,70%</w:t>
            </w:r>
          </w:p>
        </w:tc>
      </w:tr>
      <w:tr w:rsidR="00DA59E9" w:rsidRPr="00DA59E9" w14:paraId="2166407C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5492D8CF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MZ SR</w:t>
            </w:r>
          </w:p>
        </w:tc>
        <w:tc>
          <w:tcPr>
            <w:tcW w:w="1658" w:type="dxa"/>
            <w:vAlign w:val="center"/>
            <w:hideMark/>
          </w:tcPr>
          <w:p w14:paraId="209466A0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386 212 621</w:t>
            </w:r>
          </w:p>
        </w:tc>
        <w:tc>
          <w:tcPr>
            <w:tcW w:w="1737" w:type="dxa"/>
            <w:vAlign w:val="center"/>
            <w:hideMark/>
          </w:tcPr>
          <w:p w14:paraId="7831D167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135 174 418</w:t>
            </w:r>
          </w:p>
        </w:tc>
        <w:tc>
          <w:tcPr>
            <w:tcW w:w="2374" w:type="dxa"/>
            <w:vAlign w:val="center"/>
            <w:hideMark/>
          </w:tcPr>
          <w:p w14:paraId="2A3B4EFC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56 754 857</w:t>
            </w:r>
          </w:p>
        </w:tc>
        <w:tc>
          <w:tcPr>
            <w:tcW w:w="1843" w:type="dxa"/>
            <w:vAlign w:val="center"/>
            <w:hideMark/>
          </w:tcPr>
          <w:p w14:paraId="4051E90C" w14:textId="77777777" w:rsidR="00DA59E9" w:rsidRPr="00DA59E9" w:rsidRDefault="00DA59E9" w:rsidP="00DA59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41,99%</w:t>
            </w:r>
          </w:p>
        </w:tc>
      </w:tr>
      <w:tr w:rsidR="00DA59E9" w:rsidRPr="00DA59E9" w14:paraId="00D17A25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6AC4A7B1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MV SR</w:t>
            </w:r>
          </w:p>
        </w:tc>
        <w:tc>
          <w:tcPr>
            <w:tcW w:w="1658" w:type="dxa"/>
            <w:vAlign w:val="center"/>
            <w:hideMark/>
          </w:tcPr>
          <w:p w14:paraId="1562188E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107 400 000</w:t>
            </w:r>
          </w:p>
        </w:tc>
        <w:tc>
          <w:tcPr>
            <w:tcW w:w="1737" w:type="dxa"/>
            <w:vAlign w:val="center"/>
            <w:hideMark/>
          </w:tcPr>
          <w:p w14:paraId="6F54BE99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37 590 000</w:t>
            </w:r>
          </w:p>
        </w:tc>
        <w:tc>
          <w:tcPr>
            <w:tcW w:w="2374" w:type="dxa"/>
            <w:vAlign w:val="center"/>
            <w:hideMark/>
          </w:tcPr>
          <w:p w14:paraId="2120EA92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50 894 882</w:t>
            </w:r>
          </w:p>
        </w:tc>
        <w:tc>
          <w:tcPr>
            <w:tcW w:w="1843" w:type="dxa"/>
            <w:vAlign w:val="center"/>
            <w:hideMark/>
          </w:tcPr>
          <w:p w14:paraId="06D3A79A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135,39%</w:t>
            </w:r>
          </w:p>
        </w:tc>
      </w:tr>
      <w:tr w:rsidR="00DA59E9" w:rsidRPr="00DA59E9" w14:paraId="5EE2EDD1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7F477D95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ÚV SR</w:t>
            </w:r>
          </w:p>
        </w:tc>
        <w:tc>
          <w:tcPr>
            <w:tcW w:w="1658" w:type="dxa"/>
            <w:vAlign w:val="center"/>
            <w:hideMark/>
          </w:tcPr>
          <w:p w14:paraId="74A9BA68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431 500 000</w:t>
            </w:r>
          </w:p>
        </w:tc>
        <w:tc>
          <w:tcPr>
            <w:tcW w:w="1737" w:type="dxa"/>
            <w:vAlign w:val="center"/>
            <w:hideMark/>
          </w:tcPr>
          <w:p w14:paraId="2E612823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183 296 000</w:t>
            </w:r>
          </w:p>
        </w:tc>
        <w:tc>
          <w:tcPr>
            <w:tcW w:w="2374" w:type="dxa"/>
            <w:vAlign w:val="center"/>
            <w:hideMark/>
          </w:tcPr>
          <w:p w14:paraId="604D8009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186 734 693</w:t>
            </w:r>
          </w:p>
        </w:tc>
        <w:tc>
          <w:tcPr>
            <w:tcW w:w="1843" w:type="dxa"/>
            <w:vAlign w:val="center"/>
            <w:hideMark/>
          </w:tcPr>
          <w:p w14:paraId="1835B163" w14:textId="77777777" w:rsidR="00DA59E9" w:rsidRPr="00DA59E9" w:rsidRDefault="00DA59E9" w:rsidP="00DA59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101,88%</w:t>
            </w:r>
          </w:p>
        </w:tc>
      </w:tr>
      <w:tr w:rsidR="00DA59E9" w:rsidRPr="00DA59E9" w14:paraId="3437D958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42CA5660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MPSVR SR</w:t>
            </w:r>
          </w:p>
        </w:tc>
        <w:tc>
          <w:tcPr>
            <w:tcW w:w="1658" w:type="dxa"/>
            <w:vAlign w:val="center"/>
            <w:hideMark/>
          </w:tcPr>
          <w:p w14:paraId="6760667B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1 822 028 205</w:t>
            </w:r>
          </w:p>
        </w:tc>
        <w:tc>
          <w:tcPr>
            <w:tcW w:w="1737" w:type="dxa"/>
            <w:vAlign w:val="center"/>
            <w:hideMark/>
          </w:tcPr>
          <w:p w14:paraId="78487311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856 014 154</w:t>
            </w:r>
          </w:p>
        </w:tc>
        <w:tc>
          <w:tcPr>
            <w:tcW w:w="2374" w:type="dxa"/>
            <w:vAlign w:val="center"/>
            <w:hideMark/>
          </w:tcPr>
          <w:p w14:paraId="0E735315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1 106 274 260</w:t>
            </w:r>
          </w:p>
        </w:tc>
        <w:tc>
          <w:tcPr>
            <w:tcW w:w="1843" w:type="dxa"/>
            <w:vAlign w:val="center"/>
            <w:hideMark/>
          </w:tcPr>
          <w:p w14:paraId="79470280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129,24%</w:t>
            </w:r>
          </w:p>
        </w:tc>
      </w:tr>
      <w:tr w:rsidR="00DA59E9" w:rsidRPr="00DA59E9" w14:paraId="7756F1BB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5D99CDB9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MŠVVM SR</w:t>
            </w:r>
          </w:p>
        </w:tc>
        <w:tc>
          <w:tcPr>
            <w:tcW w:w="1658" w:type="dxa"/>
            <w:vAlign w:val="center"/>
            <w:hideMark/>
          </w:tcPr>
          <w:p w14:paraId="70761A5B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1 039 992 240</w:t>
            </w:r>
          </w:p>
        </w:tc>
        <w:tc>
          <w:tcPr>
            <w:tcW w:w="1737" w:type="dxa"/>
            <w:vAlign w:val="center"/>
            <w:hideMark/>
          </w:tcPr>
          <w:p w14:paraId="7DDE0154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522 261 287</w:t>
            </w:r>
          </w:p>
        </w:tc>
        <w:tc>
          <w:tcPr>
            <w:tcW w:w="2374" w:type="dxa"/>
            <w:vAlign w:val="center"/>
            <w:hideMark/>
          </w:tcPr>
          <w:p w14:paraId="48E5DF7D" w14:textId="77777777" w:rsidR="00DA59E9" w:rsidRPr="00DA59E9" w:rsidRDefault="00DA59E9" w:rsidP="00DA59E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344 560 981</w:t>
            </w:r>
          </w:p>
        </w:tc>
        <w:tc>
          <w:tcPr>
            <w:tcW w:w="1843" w:type="dxa"/>
            <w:vAlign w:val="center"/>
            <w:hideMark/>
          </w:tcPr>
          <w:p w14:paraId="35BB8E82" w14:textId="77777777" w:rsidR="00DA59E9" w:rsidRPr="00DA59E9" w:rsidRDefault="00DA59E9" w:rsidP="00DA59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65,97%</w:t>
            </w:r>
          </w:p>
        </w:tc>
      </w:tr>
      <w:tr w:rsidR="00DA59E9" w:rsidRPr="00DA59E9" w14:paraId="6EFA7205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dxa"/>
            <w:vAlign w:val="center"/>
            <w:hideMark/>
          </w:tcPr>
          <w:p w14:paraId="5D849156" w14:textId="77777777" w:rsidR="00DA59E9" w:rsidRPr="00DA59E9" w:rsidRDefault="00DA59E9" w:rsidP="00DA59E9">
            <w:pPr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SPOLU</w:t>
            </w:r>
          </w:p>
        </w:tc>
        <w:tc>
          <w:tcPr>
            <w:tcW w:w="1658" w:type="dxa"/>
            <w:vAlign w:val="center"/>
            <w:hideMark/>
          </w:tcPr>
          <w:p w14:paraId="41C87A91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12 593 734 933</w:t>
            </w:r>
          </w:p>
        </w:tc>
        <w:tc>
          <w:tcPr>
            <w:tcW w:w="1737" w:type="dxa"/>
            <w:vAlign w:val="center"/>
            <w:hideMark/>
          </w:tcPr>
          <w:p w14:paraId="4312DCD9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5 079 215 626</w:t>
            </w:r>
          </w:p>
        </w:tc>
        <w:tc>
          <w:tcPr>
            <w:tcW w:w="2374" w:type="dxa"/>
            <w:vAlign w:val="center"/>
            <w:hideMark/>
          </w:tcPr>
          <w:p w14:paraId="45AF584F" w14:textId="77777777" w:rsidR="00DA59E9" w:rsidRPr="00DA59E9" w:rsidRDefault="00DA59E9" w:rsidP="00DA59E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4 529 407 168</w:t>
            </w:r>
          </w:p>
        </w:tc>
        <w:tc>
          <w:tcPr>
            <w:tcW w:w="1843" w:type="dxa"/>
            <w:vAlign w:val="center"/>
            <w:hideMark/>
          </w:tcPr>
          <w:p w14:paraId="72DBA29E" w14:textId="77777777" w:rsidR="00DA59E9" w:rsidRPr="00DA59E9" w:rsidRDefault="00DA59E9" w:rsidP="00DA59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DA59E9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89,18%</w:t>
            </w:r>
          </w:p>
        </w:tc>
      </w:tr>
    </w:tbl>
    <w:p w14:paraId="18F515F1" w14:textId="77777777" w:rsidR="00DA4A4F" w:rsidRPr="00DA4A4F" w:rsidRDefault="00DA4A4F" w:rsidP="00DA59E9">
      <w:pPr>
        <w:spacing w:after="0" w:line="240" w:lineRule="auto"/>
        <w:rPr>
          <w:b/>
          <w:color w:val="000000" w:themeColor="text1"/>
          <w:sz w:val="28"/>
          <w:szCs w:val="32"/>
        </w:rPr>
      </w:pPr>
    </w:p>
    <w:p w14:paraId="0D57763A" w14:textId="77777777" w:rsidR="003B7719" w:rsidRDefault="000128E3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Plnenie plánu kontrahovania na 100 % a viac dosiahlo 5 </w:t>
      </w:r>
      <w:r w:rsidR="00330E7D">
        <w:rPr>
          <w:rStyle w:val="normaltextrun"/>
          <w:rFonts w:ascii="Calibri" w:eastAsiaTheme="majorEastAsia" w:hAnsi="Calibri" w:cs="Calibri"/>
          <w:sz w:val="22"/>
          <w:szCs w:val="22"/>
        </w:rPr>
        <w:t>SO</w:t>
      </w:r>
      <w:r w:rsidR="00954A48">
        <w:rPr>
          <w:rStyle w:val="normaltextrun"/>
          <w:rFonts w:ascii="Calibri" w:eastAsiaTheme="majorEastAsia" w:hAnsi="Calibri" w:cs="Calibri"/>
          <w:sz w:val="22"/>
          <w:szCs w:val="22"/>
        </w:rPr>
        <w:t>: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MV SR 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135,39 %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)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, MPSVR SR 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129,24 %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)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, MŽP SR 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104,87 %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)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, ÚV SR 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101,88 %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)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, MD SR </w:t>
      </w:r>
      <w:r w:rsidR="0098598C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101,07 %).</w:t>
      </w:r>
    </w:p>
    <w:p w14:paraId="6F5F40F8" w14:textId="77777777" w:rsidR="000128E3" w:rsidRDefault="000128E3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Menej ako 100 % dosiahli MH SR (85,18 %), SIEA (82,70 %), MŠVVM SR (65,97 %), MZ SR (41,99 %) a MIRRI SR </w:t>
      </w:r>
      <w:r w:rsidR="00B253EA"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41,40 %</w:t>
      </w:r>
      <w:r w:rsidR="00B253EA">
        <w:rPr>
          <w:rStyle w:val="normaltextrun"/>
          <w:rFonts w:ascii="Calibri" w:eastAsiaTheme="majorEastAsia" w:hAnsi="Calibri" w:cs="Calibri"/>
          <w:sz w:val="22"/>
          <w:szCs w:val="22"/>
        </w:rPr>
        <w:t>)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.</w:t>
      </w:r>
    </w:p>
    <w:p w14:paraId="344C6940" w14:textId="3CEB634C" w:rsidR="00F40C7C" w:rsidRDefault="00F40C7C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2D4D2C0F" w14:textId="0BBB1D84" w:rsidR="00DA66C7" w:rsidRDefault="00DA66C7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2468101F" w14:textId="1F2196DA" w:rsidR="00DA66C7" w:rsidRDefault="00DA66C7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66A4EAE8" w14:textId="77777777" w:rsidR="00DA66C7" w:rsidRDefault="00DA66C7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726E792A" w14:textId="3D5E1C6F" w:rsidR="00F40C7C" w:rsidRDefault="00F40C7C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5E759D4C" w14:textId="58851854" w:rsidR="000762C6" w:rsidRDefault="000762C6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0503274F" w14:textId="77777777" w:rsidR="000762C6" w:rsidRDefault="000762C6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132B33F3" w14:textId="77777777" w:rsidR="00C90918" w:rsidRDefault="00C90918" w:rsidP="002336FE">
      <w:pPr>
        <w:pStyle w:val="Nadpis2"/>
        <w:rPr>
          <w:rFonts w:eastAsiaTheme="minorHAnsi"/>
        </w:rPr>
      </w:pPr>
      <w:bookmarkStart w:id="4" w:name="_Toc193446271"/>
      <w:r w:rsidRPr="000904F2">
        <w:rPr>
          <w:rFonts w:eastAsiaTheme="minorHAnsi"/>
        </w:rPr>
        <w:lastRenderedPageBreak/>
        <w:t xml:space="preserve">Plnenie Investičných plánov </w:t>
      </w:r>
      <w:r w:rsidR="0039336E">
        <w:rPr>
          <w:rFonts w:eastAsiaTheme="minorHAnsi"/>
        </w:rPr>
        <w:t>implementačných sekcií</w:t>
      </w:r>
      <w:r w:rsidR="006F3B93" w:rsidRPr="000904F2">
        <w:rPr>
          <w:rFonts w:eastAsiaTheme="minorHAnsi"/>
        </w:rPr>
        <w:t xml:space="preserve"> MIRRI SR</w:t>
      </w:r>
      <w:bookmarkEnd w:id="4"/>
    </w:p>
    <w:p w14:paraId="7B74B622" w14:textId="15D92646" w:rsidR="00E738D3" w:rsidRPr="000904F2" w:rsidRDefault="00E738D3" w:rsidP="000904F2">
      <w:pPr>
        <w:pStyle w:val="paragraph"/>
        <w:spacing w:before="120" w:beforeAutospacing="0" w:after="120" w:afterAutospacing="0"/>
        <w:jc w:val="both"/>
        <w:textAlignment w:val="baseline"/>
        <w:rPr>
          <w:rFonts w:ascii="Calibri" w:hAnsi="Calibri" w:cs="Calibri"/>
          <w:color w:val="000000" w:themeColor="text1"/>
          <w:sz w:val="22"/>
          <w:szCs w:val="22"/>
        </w:rPr>
      </w:pPr>
      <w:r w:rsidRPr="000904F2">
        <w:rPr>
          <w:rFonts w:ascii="Calibri" w:eastAsiaTheme="minorHAnsi" w:hAnsi="Calibri" w:cs="Calibri"/>
          <w:color w:val="000000" w:themeColor="text1"/>
          <w:sz w:val="22"/>
          <w:szCs w:val="22"/>
        </w:rPr>
        <w:t>Tab</w:t>
      </w:r>
      <w:r w:rsidRPr="000904F2">
        <w:rPr>
          <w:rFonts w:ascii="Calibri" w:hAnsi="Calibri" w:cs="Calibri"/>
          <w:color w:val="000000" w:themeColor="text1"/>
          <w:sz w:val="22"/>
          <w:szCs w:val="22"/>
        </w:rPr>
        <w:t xml:space="preserve">. č.  2 Prehľad plnenia Investičných plánov </w:t>
      </w:r>
      <w:r w:rsidR="00D73D04">
        <w:rPr>
          <w:rFonts w:ascii="Calibri" w:hAnsi="Calibri" w:cs="Calibri"/>
          <w:color w:val="000000" w:themeColor="text1"/>
          <w:sz w:val="22"/>
          <w:szCs w:val="22"/>
        </w:rPr>
        <w:t>IS</w:t>
      </w:r>
      <w:r w:rsidR="0039336E" w:rsidRPr="0039336E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Pr="000904F2">
        <w:rPr>
          <w:rFonts w:ascii="Calibri" w:hAnsi="Calibri" w:cs="Calibri"/>
          <w:color w:val="000000" w:themeColor="text1"/>
          <w:sz w:val="22"/>
          <w:szCs w:val="22"/>
        </w:rPr>
        <w:t>MIRRI SR</w:t>
      </w:r>
    </w:p>
    <w:tbl>
      <w:tblPr>
        <w:tblStyle w:val="Tabukasozoznamom1svetl"/>
        <w:tblW w:w="9639" w:type="dxa"/>
        <w:tblLook w:val="04A0" w:firstRow="1" w:lastRow="0" w:firstColumn="1" w:lastColumn="0" w:noHBand="0" w:noVBand="1"/>
      </w:tblPr>
      <w:tblGrid>
        <w:gridCol w:w="2977"/>
        <w:gridCol w:w="1701"/>
        <w:gridCol w:w="1559"/>
        <w:gridCol w:w="1701"/>
        <w:gridCol w:w="1701"/>
      </w:tblGrid>
      <w:tr w:rsidR="001C548F" w:rsidRPr="001C548F" w14:paraId="7FDB39F5" w14:textId="77777777" w:rsidTr="001C54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477C33C8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Rezort</w:t>
            </w:r>
          </w:p>
        </w:tc>
        <w:tc>
          <w:tcPr>
            <w:tcW w:w="1701" w:type="dxa"/>
            <w:vAlign w:val="center"/>
            <w:hideMark/>
          </w:tcPr>
          <w:p w14:paraId="02DB5C32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Alokácia</w:t>
            </w:r>
          </w:p>
        </w:tc>
        <w:tc>
          <w:tcPr>
            <w:tcW w:w="1559" w:type="dxa"/>
            <w:vAlign w:val="center"/>
            <w:hideMark/>
          </w:tcPr>
          <w:p w14:paraId="346CAA27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Plán kontrahovania</w:t>
            </w:r>
          </w:p>
        </w:tc>
        <w:tc>
          <w:tcPr>
            <w:tcW w:w="1701" w:type="dxa"/>
            <w:vAlign w:val="center"/>
            <w:hideMark/>
          </w:tcPr>
          <w:p w14:paraId="47C878A8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hAnsi="Calibri" w:cs="Calibri"/>
                <w:bCs w:val="0"/>
                <w:color w:val="000000"/>
                <w:sz w:val="22"/>
                <w:szCs w:val="22"/>
              </w:rPr>
              <w:t>K</w:t>
            </w:r>
            <w:r w:rsidRPr="00DA59E9">
              <w:rPr>
                <w:rFonts w:ascii="Calibri" w:hAnsi="Calibri" w:cs="Calibri"/>
                <w:color w:val="000000"/>
                <w:sz w:val="22"/>
                <w:szCs w:val="22"/>
              </w:rPr>
              <w:t>ontrahovanie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DA59E9">
              <w:rPr>
                <w:rFonts w:ascii="Calibri" w:hAnsi="Calibri" w:cs="Calibri"/>
                <w:color w:val="000000"/>
                <w:sz w:val="22"/>
                <w:szCs w:val="22"/>
              </w:rPr>
              <w:t>(brutto) k 31.12.2024</w:t>
            </w:r>
          </w:p>
        </w:tc>
        <w:tc>
          <w:tcPr>
            <w:tcW w:w="1701" w:type="dxa"/>
            <w:vAlign w:val="center"/>
            <w:hideMark/>
          </w:tcPr>
          <w:p w14:paraId="70C99161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% plnenia plánu kontrahovania k 31.12.2024</w:t>
            </w:r>
          </w:p>
        </w:tc>
      </w:tr>
      <w:tr w:rsidR="001C548F" w:rsidRPr="001C548F" w14:paraId="4968CDB9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184B78CC" w14:textId="77777777" w:rsidR="001C548F" w:rsidRPr="001C548F" w:rsidRDefault="001C548F" w:rsidP="001C548F">
            <w:pPr>
              <w:pStyle w:val="paragraph"/>
              <w:spacing w:before="120" w:after="120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Sekcia</w:t>
            </w:r>
            <w:r>
              <w:rPr>
                <w:rFonts w:ascii="Calibri" w:eastAsiaTheme="majorEastAsia" w:hAnsi="Calibri" w:cs="Calibri"/>
                <w:sz w:val="22"/>
                <w:szCs w:val="22"/>
              </w:rPr>
              <w:t xml:space="preserve"> </w:t>
            </w: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implementácie Programu Slovensko</w:t>
            </w:r>
          </w:p>
        </w:tc>
        <w:tc>
          <w:tcPr>
            <w:tcW w:w="1701" w:type="dxa"/>
            <w:vAlign w:val="center"/>
            <w:hideMark/>
          </w:tcPr>
          <w:p w14:paraId="2265E947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1 347 259 289</w:t>
            </w:r>
          </w:p>
        </w:tc>
        <w:tc>
          <w:tcPr>
            <w:tcW w:w="1559" w:type="dxa"/>
            <w:vAlign w:val="center"/>
            <w:hideMark/>
          </w:tcPr>
          <w:p w14:paraId="3AB300FD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532 303 715</w:t>
            </w:r>
          </w:p>
        </w:tc>
        <w:tc>
          <w:tcPr>
            <w:tcW w:w="1701" w:type="dxa"/>
            <w:vAlign w:val="center"/>
            <w:hideMark/>
          </w:tcPr>
          <w:p w14:paraId="0039CC98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187 835 182</w:t>
            </w:r>
          </w:p>
        </w:tc>
        <w:tc>
          <w:tcPr>
            <w:tcW w:w="1701" w:type="dxa"/>
            <w:vAlign w:val="center"/>
            <w:hideMark/>
          </w:tcPr>
          <w:p w14:paraId="446A9F29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35,29%</w:t>
            </w:r>
          </w:p>
        </w:tc>
      </w:tr>
      <w:tr w:rsidR="001C548F" w:rsidRPr="001C548F" w14:paraId="24CCFA5B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54A914A9" w14:textId="77777777" w:rsidR="001C548F" w:rsidRPr="001C548F" w:rsidRDefault="001C548F" w:rsidP="001C548F">
            <w:pPr>
              <w:pStyle w:val="paragraph"/>
              <w:spacing w:before="120" w:after="120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Sekcia implementácie projektov informatizácie</w:t>
            </w:r>
          </w:p>
        </w:tc>
        <w:tc>
          <w:tcPr>
            <w:tcW w:w="1701" w:type="dxa"/>
            <w:vAlign w:val="center"/>
            <w:hideMark/>
          </w:tcPr>
          <w:p w14:paraId="758A8B28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586 383 085</w:t>
            </w:r>
          </w:p>
        </w:tc>
        <w:tc>
          <w:tcPr>
            <w:tcW w:w="1559" w:type="dxa"/>
            <w:vAlign w:val="center"/>
            <w:hideMark/>
          </w:tcPr>
          <w:p w14:paraId="5F096FB8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48 218 595</w:t>
            </w:r>
          </w:p>
        </w:tc>
        <w:tc>
          <w:tcPr>
            <w:tcW w:w="1701" w:type="dxa"/>
            <w:vAlign w:val="center"/>
            <w:hideMark/>
          </w:tcPr>
          <w:p w14:paraId="080FDF28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46 945 771</w:t>
            </w:r>
          </w:p>
        </w:tc>
        <w:tc>
          <w:tcPr>
            <w:tcW w:w="1701" w:type="dxa"/>
            <w:vAlign w:val="center"/>
            <w:hideMark/>
          </w:tcPr>
          <w:p w14:paraId="63F0B7ED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97,36%</w:t>
            </w:r>
          </w:p>
        </w:tc>
      </w:tr>
      <w:tr w:rsidR="001C548F" w:rsidRPr="001C548F" w14:paraId="16EDFC93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66AD472E" w14:textId="77777777" w:rsidR="001C548F" w:rsidRPr="001C548F" w:rsidRDefault="001C548F" w:rsidP="001C548F">
            <w:pPr>
              <w:pStyle w:val="paragraph"/>
              <w:spacing w:before="120" w:after="120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Sekcia programovania a podpory Programu Slovensko</w:t>
            </w:r>
          </w:p>
        </w:tc>
        <w:tc>
          <w:tcPr>
            <w:tcW w:w="1701" w:type="dxa"/>
            <w:vAlign w:val="center"/>
            <w:hideMark/>
          </w:tcPr>
          <w:p w14:paraId="20908C8D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410 233 301</w:t>
            </w:r>
          </w:p>
        </w:tc>
        <w:tc>
          <w:tcPr>
            <w:tcW w:w="1559" w:type="dxa"/>
            <w:vAlign w:val="center"/>
            <w:hideMark/>
          </w:tcPr>
          <w:p w14:paraId="646CB2B8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57 168 882</w:t>
            </w:r>
          </w:p>
        </w:tc>
        <w:tc>
          <w:tcPr>
            <w:tcW w:w="1701" w:type="dxa"/>
            <w:vAlign w:val="center"/>
            <w:hideMark/>
          </w:tcPr>
          <w:p w14:paraId="39113135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63 022 233</w:t>
            </w:r>
          </w:p>
        </w:tc>
        <w:tc>
          <w:tcPr>
            <w:tcW w:w="1701" w:type="dxa"/>
            <w:vAlign w:val="center"/>
            <w:hideMark/>
          </w:tcPr>
          <w:p w14:paraId="63999B76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110,24%</w:t>
            </w:r>
          </w:p>
        </w:tc>
      </w:tr>
      <w:tr w:rsidR="001C548F" w:rsidRPr="001C548F" w14:paraId="013A74EB" w14:textId="77777777" w:rsidTr="001C548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42FF4CCC" w14:textId="77777777" w:rsidR="001C548F" w:rsidRPr="001C548F" w:rsidRDefault="001C548F" w:rsidP="001C548F">
            <w:pPr>
              <w:pStyle w:val="paragraph"/>
              <w:spacing w:before="120" w:after="120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Sekcia regionálneho rozvoja</w:t>
            </w:r>
          </w:p>
        </w:tc>
        <w:tc>
          <w:tcPr>
            <w:tcW w:w="1701" w:type="dxa"/>
            <w:vAlign w:val="center"/>
            <w:hideMark/>
          </w:tcPr>
          <w:p w14:paraId="57320D31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226 693 618</w:t>
            </w:r>
          </w:p>
        </w:tc>
        <w:tc>
          <w:tcPr>
            <w:tcW w:w="1559" w:type="dxa"/>
            <w:vAlign w:val="center"/>
            <w:hideMark/>
          </w:tcPr>
          <w:p w14:paraId="3630FDE6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167 135 716</w:t>
            </w:r>
          </w:p>
        </w:tc>
        <w:tc>
          <w:tcPr>
            <w:tcW w:w="1701" w:type="dxa"/>
            <w:vAlign w:val="center"/>
            <w:hideMark/>
          </w:tcPr>
          <w:p w14:paraId="10892604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35 429 619</w:t>
            </w:r>
          </w:p>
        </w:tc>
        <w:tc>
          <w:tcPr>
            <w:tcW w:w="1701" w:type="dxa"/>
            <w:vAlign w:val="center"/>
            <w:hideMark/>
          </w:tcPr>
          <w:p w14:paraId="78842989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21,20%</w:t>
            </w:r>
          </w:p>
        </w:tc>
      </w:tr>
      <w:tr w:rsidR="001C548F" w:rsidRPr="001C548F" w14:paraId="0408BEDE" w14:textId="77777777" w:rsidTr="001C5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vAlign w:val="center"/>
            <w:hideMark/>
          </w:tcPr>
          <w:p w14:paraId="3AA4107F" w14:textId="77777777" w:rsidR="001C548F" w:rsidRPr="001C548F" w:rsidRDefault="001C548F" w:rsidP="001C548F">
            <w:pPr>
              <w:pStyle w:val="paragraph"/>
              <w:spacing w:before="120" w:after="120"/>
              <w:textAlignment w:val="baseline"/>
              <w:rPr>
                <w:rFonts w:ascii="Calibri" w:eastAsiaTheme="majorEastAsia" w:hAnsi="Calibri" w:cs="Calibri"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sz w:val="22"/>
                <w:szCs w:val="22"/>
              </w:rPr>
              <w:t>SPOLU</w:t>
            </w:r>
          </w:p>
        </w:tc>
        <w:tc>
          <w:tcPr>
            <w:tcW w:w="1701" w:type="dxa"/>
            <w:vAlign w:val="center"/>
            <w:hideMark/>
          </w:tcPr>
          <w:p w14:paraId="4319A9A9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  <w:t>2 570 569 293</w:t>
            </w:r>
          </w:p>
        </w:tc>
        <w:tc>
          <w:tcPr>
            <w:tcW w:w="1559" w:type="dxa"/>
            <w:vAlign w:val="center"/>
            <w:hideMark/>
          </w:tcPr>
          <w:p w14:paraId="4A8E8F50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  <w:t>804 826 908</w:t>
            </w:r>
          </w:p>
        </w:tc>
        <w:tc>
          <w:tcPr>
            <w:tcW w:w="1701" w:type="dxa"/>
            <w:vAlign w:val="center"/>
            <w:hideMark/>
          </w:tcPr>
          <w:p w14:paraId="5A1CBE83" w14:textId="77777777" w:rsidR="001C548F" w:rsidRPr="001C548F" w:rsidRDefault="001C548F" w:rsidP="001C548F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  <w:t>333 232 804</w:t>
            </w:r>
          </w:p>
        </w:tc>
        <w:tc>
          <w:tcPr>
            <w:tcW w:w="1701" w:type="dxa"/>
            <w:vAlign w:val="center"/>
            <w:hideMark/>
          </w:tcPr>
          <w:p w14:paraId="1BC58840" w14:textId="77777777" w:rsidR="001C548F" w:rsidRPr="001C548F" w:rsidRDefault="001C548F" w:rsidP="001C548F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</w:pPr>
            <w:r w:rsidRPr="001C548F">
              <w:rPr>
                <w:rFonts w:ascii="Calibri" w:eastAsiaTheme="majorEastAsia" w:hAnsi="Calibri" w:cs="Calibri"/>
                <w:b/>
                <w:bCs/>
                <w:sz w:val="22"/>
                <w:szCs w:val="22"/>
              </w:rPr>
              <w:t>41,40%</w:t>
            </w:r>
          </w:p>
        </w:tc>
      </w:tr>
    </w:tbl>
    <w:p w14:paraId="5E8F064A" w14:textId="77777777" w:rsidR="00C90918" w:rsidRDefault="00C90918" w:rsidP="00DA4A4F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24D82320" w14:textId="77777777" w:rsidR="00DA66C7" w:rsidRDefault="00C90918" w:rsidP="006246C0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V rámci </w:t>
      </w:r>
      <w:r w:rsidR="00EB1AED">
        <w:rPr>
          <w:rStyle w:val="normaltextrun"/>
          <w:rFonts w:ascii="Calibri" w:eastAsiaTheme="majorEastAsia" w:hAnsi="Calibri" w:cs="Calibri"/>
          <w:sz w:val="22"/>
          <w:szCs w:val="22"/>
        </w:rPr>
        <w:t>MIRRI SR dosiahla</w:t>
      </w:r>
      <w:r w:rsidR="006F3B93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</w:t>
      </w:r>
      <w:r w:rsidR="000E3A99" w:rsidRPr="000E3A99">
        <w:rPr>
          <w:rFonts w:ascii="Calibri" w:eastAsiaTheme="majorEastAsia" w:hAnsi="Calibri" w:cs="Calibri"/>
          <w:sz w:val="22"/>
          <w:szCs w:val="22"/>
        </w:rPr>
        <w:t>SP</w:t>
      </w:r>
      <w:r w:rsidR="00CC6C67">
        <w:rPr>
          <w:rFonts w:ascii="Calibri" w:eastAsiaTheme="majorEastAsia" w:hAnsi="Calibri" w:cs="Calibri"/>
          <w:sz w:val="22"/>
          <w:szCs w:val="22"/>
        </w:rPr>
        <w:t>P</w:t>
      </w:r>
      <w:r w:rsidR="000E3A99" w:rsidRPr="000E3A99">
        <w:rPr>
          <w:rFonts w:ascii="Calibri" w:eastAsiaTheme="majorEastAsia" w:hAnsi="Calibri" w:cs="Calibri"/>
          <w:sz w:val="22"/>
          <w:szCs w:val="22"/>
        </w:rPr>
        <w:t xml:space="preserve">PS </w:t>
      </w:r>
      <w:r w:rsidR="006246C0">
        <w:rPr>
          <w:rStyle w:val="normaltextrun"/>
          <w:rFonts w:ascii="Calibri" w:eastAsiaTheme="majorEastAsia" w:hAnsi="Calibri" w:cs="Calibri"/>
          <w:sz w:val="22"/>
          <w:szCs w:val="22"/>
        </w:rPr>
        <w:t xml:space="preserve">plnenie </w:t>
      </w:r>
      <w:r w:rsidR="00EB1AED">
        <w:rPr>
          <w:rStyle w:val="normaltextrun"/>
          <w:rFonts w:ascii="Calibri" w:eastAsiaTheme="majorEastAsia" w:hAnsi="Calibri" w:cs="Calibri"/>
          <w:sz w:val="22"/>
          <w:szCs w:val="22"/>
        </w:rPr>
        <w:t>110,24 %.</w:t>
      </w:r>
    </w:p>
    <w:p w14:paraId="5392CA15" w14:textId="22979973" w:rsidR="00EB1AED" w:rsidRDefault="00EB1AED" w:rsidP="006246C0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>Ostatné 3 sekcie dosiahli plnenie</w:t>
      </w:r>
      <w:r w:rsidR="00486CE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menej ako 100 </w:t>
      </w:r>
      <w:r w:rsidR="00DA66C7">
        <w:rPr>
          <w:rStyle w:val="normaltextrun"/>
          <w:rFonts w:ascii="Calibri" w:eastAsiaTheme="majorEastAsia" w:hAnsi="Calibri" w:cs="Calibri"/>
          <w:sz w:val="22"/>
          <w:szCs w:val="22"/>
        </w:rPr>
        <w:t>%</w:t>
      </w:r>
      <w:r w:rsidR="00486CE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. </w:t>
      </w:r>
      <w:r w:rsidR="000E3A99">
        <w:rPr>
          <w:rStyle w:val="normaltextrun"/>
          <w:rFonts w:ascii="Calibri" w:eastAsiaTheme="majorEastAsia" w:hAnsi="Calibri" w:cs="Calibri"/>
          <w:sz w:val="22"/>
          <w:szCs w:val="22"/>
        </w:rPr>
        <w:t>SIPI</w:t>
      </w:r>
      <w:r w:rsidR="00486CE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(</w:t>
      </w:r>
      <w:r w:rsidRPr="00EB1AED">
        <w:rPr>
          <w:rStyle w:val="normaltextrun"/>
          <w:rFonts w:ascii="Calibri" w:eastAsiaTheme="majorEastAsia" w:hAnsi="Calibri" w:cs="Calibri"/>
          <w:sz w:val="22"/>
          <w:szCs w:val="22"/>
        </w:rPr>
        <w:t>97,36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</w:t>
      </w:r>
      <w:r w:rsidRPr="00EB1AED">
        <w:rPr>
          <w:rStyle w:val="normaltextrun"/>
          <w:rFonts w:ascii="Calibri" w:eastAsiaTheme="majorEastAsia" w:hAnsi="Calibri" w:cs="Calibri"/>
          <w:sz w:val="22"/>
          <w:szCs w:val="22"/>
        </w:rPr>
        <w:t>%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), S</w:t>
      </w:r>
      <w:r w:rsidR="000E3A99">
        <w:rPr>
          <w:rStyle w:val="normaltextrun"/>
          <w:rFonts w:ascii="Calibri" w:eastAsiaTheme="majorEastAsia" w:hAnsi="Calibri" w:cs="Calibri"/>
          <w:sz w:val="22"/>
          <w:szCs w:val="22"/>
        </w:rPr>
        <w:t>IPS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(35,29 %)</w:t>
      </w:r>
      <w:r w:rsidR="00486CEC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a </w:t>
      </w:r>
      <w:r w:rsidRPr="00EB1AED">
        <w:rPr>
          <w:rStyle w:val="normaltextrun"/>
          <w:rFonts w:ascii="Calibri" w:eastAsiaTheme="majorEastAsia" w:hAnsi="Calibri" w:cs="Calibri"/>
          <w:sz w:val="22"/>
          <w:szCs w:val="22"/>
        </w:rPr>
        <w:t>S</w:t>
      </w:r>
      <w:r w:rsidR="000E3A99">
        <w:rPr>
          <w:rStyle w:val="normaltextrun"/>
          <w:rFonts w:ascii="Calibri" w:eastAsiaTheme="majorEastAsia" w:hAnsi="Calibri" w:cs="Calibri"/>
          <w:sz w:val="22"/>
          <w:szCs w:val="22"/>
        </w:rPr>
        <w:t>RR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(</w:t>
      </w:r>
      <w:r w:rsidRPr="00EB1AED">
        <w:rPr>
          <w:rStyle w:val="normaltextrun"/>
          <w:rFonts w:ascii="Calibri" w:eastAsiaTheme="majorEastAsia" w:hAnsi="Calibri" w:cs="Calibri"/>
          <w:sz w:val="22"/>
          <w:szCs w:val="22"/>
        </w:rPr>
        <w:t>21,20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 </w:t>
      </w:r>
      <w:r w:rsidRPr="00EB1AED">
        <w:rPr>
          <w:rStyle w:val="normaltextrun"/>
          <w:rFonts w:ascii="Calibri" w:eastAsiaTheme="majorEastAsia" w:hAnsi="Calibri" w:cs="Calibri"/>
          <w:sz w:val="22"/>
          <w:szCs w:val="22"/>
        </w:rPr>
        <w:t>%</w:t>
      </w:r>
      <w:r>
        <w:rPr>
          <w:rStyle w:val="normaltextrun"/>
          <w:rFonts w:ascii="Calibri" w:eastAsiaTheme="majorEastAsia" w:hAnsi="Calibri" w:cs="Calibri"/>
          <w:sz w:val="22"/>
          <w:szCs w:val="22"/>
        </w:rPr>
        <w:t>).</w:t>
      </w:r>
    </w:p>
    <w:p w14:paraId="415F5854" w14:textId="77777777" w:rsidR="00C90918" w:rsidRDefault="00C90918" w:rsidP="006246C0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</w:p>
    <w:p w14:paraId="01CC5A0C" w14:textId="55A29426" w:rsidR="00422885" w:rsidRDefault="000128E3" w:rsidP="006246C0">
      <w:pPr>
        <w:pStyle w:val="paragraph"/>
        <w:spacing w:before="120" w:beforeAutospacing="0" w:after="120" w:afterAutospacing="0"/>
        <w:jc w:val="both"/>
        <w:textAlignment w:val="baseline"/>
        <w:rPr>
          <w:rStyle w:val="normaltextrun"/>
          <w:rFonts w:ascii="Calibri" w:eastAsiaTheme="majorEastAsia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sz w:val="22"/>
          <w:szCs w:val="22"/>
        </w:rPr>
        <w:t xml:space="preserve">Bližšie </w:t>
      </w:r>
      <w:r w:rsidR="001C548F">
        <w:rPr>
          <w:rStyle w:val="normaltextrun"/>
          <w:rFonts w:ascii="Calibri" w:eastAsiaTheme="majorEastAsia" w:hAnsi="Calibri" w:cs="Calibri"/>
          <w:sz w:val="22"/>
          <w:szCs w:val="22"/>
        </w:rPr>
        <w:t>info</w:t>
      </w:r>
      <w:r w:rsidR="00300C08">
        <w:rPr>
          <w:rStyle w:val="normaltextrun"/>
          <w:rFonts w:ascii="Calibri" w:eastAsiaTheme="majorEastAsia" w:hAnsi="Calibri" w:cs="Calibri"/>
          <w:sz w:val="22"/>
          <w:szCs w:val="22"/>
        </w:rPr>
        <w:t>rmácie</w:t>
      </w:r>
      <w:r w:rsidR="001C548F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k plneniu </w:t>
      </w:r>
      <w:r w:rsidR="00300C08">
        <w:rPr>
          <w:rStyle w:val="normaltextrun"/>
          <w:rFonts w:ascii="Calibri" w:eastAsiaTheme="majorEastAsia" w:hAnsi="Calibri" w:cs="Calibri"/>
          <w:sz w:val="22"/>
          <w:szCs w:val="22"/>
        </w:rPr>
        <w:t>i</w:t>
      </w:r>
      <w:r w:rsidR="001C548F">
        <w:rPr>
          <w:rStyle w:val="normaltextrun"/>
          <w:rFonts w:ascii="Calibri" w:eastAsiaTheme="majorEastAsia" w:hAnsi="Calibri" w:cs="Calibri"/>
          <w:sz w:val="22"/>
          <w:szCs w:val="22"/>
        </w:rPr>
        <w:t>nvestičných plánov podľa jednotlivých rezortov je uvede</w:t>
      </w:r>
      <w:r w:rsidR="00DA66C7">
        <w:rPr>
          <w:rStyle w:val="normaltextrun"/>
          <w:rFonts w:ascii="Calibri" w:eastAsiaTheme="majorEastAsia" w:hAnsi="Calibri" w:cs="Calibri"/>
          <w:sz w:val="22"/>
          <w:szCs w:val="22"/>
        </w:rPr>
        <w:t>né v bode Vyhodnotenie plnenia i</w:t>
      </w:r>
      <w:r w:rsidR="001C548F">
        <w:rPr>
          <w:rStyle w:val="normaltextrun"/>
          <w:rFonts w:ascii="Calibri" w:eastAsiaTheme="majorEastAsia" w:hAnsi="Calibri" w:cs="Calibri"/>
          <w:sz w:val="22"/>
          <w:szCs w:val="22"/>
        </w:rPr>
        <w:t>nvestičných plánov</w:t>
      </w:r>
      <w:r w:rsidR="00DA66C7">
        <w:rPr>
          <w:rStyle w:val="normaltextrun"/>
          <w:rFonts w:ascii="Calibri" w:eastAsiaTheme="majorEastAsia" w:hAnsi="Calibri" w:cs="Calibri"/>
          <w:sz w:val="22"/>
          <w:szCs w:val="22"/>
        </w:rPr>
        <w:t xml:space="preserve"> kontrahovania k 31. decembru 2024</w:t>
      </w:r>
      <w:r w:rsidR="001C548F">
        <w:rPr>
          <w:rStyle w:val="normaltextrun"/>
          <w:rFonts w:ascii="Calibri" w:eastAsiaTheme="majorEastAsia" w:hAnsi="Calibri" w:cs="Calibri"/>
          <w:sz w:val="22"/>
          <w:szCs w:val="22"/>
        </w:rPr>
        <w:t>.</w:t>
      </w:r>
    </w:p>
    <w:p w14:paraId="17A7356F" w14:textId="77777777" w:rsidR="00422885" w:rsidRDefault="00422885">
      <w:pPr>
        <w:rPr>
          <w:rStyle w:val="normaltextrun"/>
          <w:rFonts w:ascii="Calibri" w:eastAsiaTheme="majorEastAsia" w:hAnsi="Calibri" w:cs="Calibri"/>
          <w:lang w:eastAsia="sk-SK"/>
        </w:rPr>
      </w:pPr>
      <w:r>
        <w:rPr>
          <w:rStyle w:val="normaltextrun"/>
          <w:rFonts w:ascii="Calibri" w:eastAsiaTheme="majorEastAsia" w:hAnsi="Calibri" w:cs="Calibri"/>
        </w:rPr>
        <w:br w:type="page"/>
      </w:r>
    </w:p>
    <w:p w14:paraId="04B9AA36" w14:textId="77777777" w:rsidR="00771706" w:rsidRDefault="00526454" w:rsidP="002336FE">
      <w:pPr>
        <w:pStyle w:val="Nadpis1"/>
        <w:rPr>
          <w:rFonts w:eastAsia="Times New Roman"/>
          <w:lang w:eastAsia="ar-SA"/>
        </w:rPr>
      </w:pPr>
      <w:bookmarkStart w:id="5" w:name="_Toc193446272"/>
      <w:r>
        <w:rPr>
          <w:rFonts w:eastAsia="Times New Roman"/>
          <w:lang w:eastAsia="ar-SA"/>
        </w:rPr>
        <w:lastRenderedPageBreak/>
        <w:t>Vyhodnotenie plnenia i</w:t>
      </w:r>
      <w:r w:rsidR="001C548F" w:rsidRPr="00526454">
        <w:rPr>
          <w:rFonts w:eastAsia="Times New Roman"/>
          <w:lang w:eastAsia="ar-SA"/>
        </w:rPr>
        <w:t>nvestičných plánov</w:t>
      </w:r>
      <w:r w:rsidR="006246C0" w:rsidRPr="00526454">
        <w:rPr>
          <w:rFonts w:eastAsia="Times New Roman"/>
          <w:lang w:eastAsia="ar-SA"/>
        </w:rPr>
        <w:t xml:space="preserve"> kontrahovania</w:t>
      </w:r>
      <w:r w:rsidR="007D7024">
        <w:rPr>
          <w:rFonts w:eastAsia="Times New Roman"/>
          <w:lang w:eastAsia="ar-SA"/>
        </w:rPr>
        <w:br/>
      </w:r>
      <w:r w:rsidR="006246C0" w:rsidRPr="00526454">
        <w:rPr>
          <w:rFonts w:eastAsia="Times New Roman"/>
          <w:lang w:eastAsia="ar-SA"/>
        </w:rPr>
        <w:t>k 31.</w:t>
      </w:r>
      <w:r w:rsidRPr="00526454">
        <w:rPr>
          <w:rFonts w:eastAsia="Times New Roman"/>
          <w:lang w:eastAsia="ar-SA"/>
        </w:rPr>
        <w:t xml:space="preserve"> </w:t>
      </w:r>
      <w:r w:rsidR="006246C0" w:rsidRPr="00526454">
        <w:rPr>
          <w:rFonts w:eastAsia="Times New Roman"/>
          <w:lang w:eastAsia="ar-SA"/>
        </w:rPr>
        <w:t>decembru 2024</w:t>
      </w:r>
      <w:bookmarkEnd w:id="5"/>
    </w:p>
    <w:p w14:paraId="61C39DA6" w14:textId="77777777" w:rsidR="007D7024" w:rsidRPr="00040BA3" w:rsidRDefault="007D7024" w:rsidP="00040BA3">
      <w:pPr>
        <w:pStyle w:val="paragraph"/>
        <w:spacing w:before="120" w:beforeAutospacing="0" w:after="120" w:afterAutospacing="0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040BA3">
        <w:rPr>
          <w:rFonts w:ascii="Calibri" w:hAnsi="Calibri" w:cs="Calibri"/>
          <w:sz w:val="22"/>
          <w:szCs w:val="22"/>
          <w:lang w:eastAsia="ar-SA"/>
        </w:rPr>
        <w:t xml:space="preserve">Investičné plány kontrahovania k 31. decembru 2024 sú vyhodnotené podľa jednotlivých 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SO</w:t>
      </w:r>
      <w:r w:rsidRPr="00040BA3">
        <w:rPr>
          <w:rFonts w:ascii="Calibri" w:hAnsi="Calibri" w:cs="Calibri"/>
          <w:sz w:val="22"/>
          <w:szCs w:val="22"/>
          <w:lang w:eastAsia="ar-SA"/>
        </w:rPr>
        <w:t>/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IS</w:t>
      </w:r>
      <w:r w:rsidRPr="00040BA3">
        <w:rPr>
          <w:rFonts w:ascii="Calibri" w:hAnsi="Calibri" w:cs="Calibri"/>
          <w:sz w:val="22"/>
          <w:szCs w:val="22"/>
          <w:lang w:eastAsia="ar-SA"/>
        </w:rPr>
        <w:t>. Vyhodnotenie plne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nia investičného plánu kontrahovania k 31. decembru 2024 je vykonané na</w:t>
      </w:r>
      <w:r w:rsidR="00840A8A" w:rsidRPr="00040BA3">
        <w:rPr>
          <w:rFonts w:ascii="Calibri" w:hAnsi="Calibri" w:cs="Calibri"/>
          <w:sz w:val="22"/>
          <w:szCs w:val="22"/>
          <w:lang w:eastAsia="ar-SA"/>
        </w:rPr>
        <w:br/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2 úrovniach: celkové plnenie</w:t>
      </w:r>
      <w:r w:rsidRPr="00040BA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 xml:space="preserve">SO/IS a </w:t>
      </w:r>
      <w:r w:rsidRPr="00040BA3">
        <w:rPr>
          <w:rFonts w:ascii="Calibri" w:hAnsi="Calibri" w:cs="Calibri"/>
          <w:sz w:val="22"/>
          <w:szCs w:val="22"/>
          <w:lang w:eastAsia="ar-SA"/>
        </w:rPr>
        <w:t>plneni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e</w:t>
      </w:r>
      <w:r w:rsidRPr="00040BA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39336E" w:rsidRPr="00040BA3">
        <w:rPr>
          <w:rFonts w:ascii="Calibri" w:hAnsi="Calibri" w:cs="Calibri"/>
          <w:sz w:val="22"/>
          <w:szCs w:val="22"/>
          <w:lang w:eastAsia="ar-SA"/>
        </w:rPr>
        <w:t>z pohľadu fondov/kategórie regiónov jednotlivých SO/IS, ak relevantné.</w:t>
      </w:r>
    </w:p>
    <w:p w14:paraId="2883E6D0" w14:textId="77777777" w:rsidR="002E61CC" w:rsidRPr="006F3E00" w:rsidRDefault="00B97401" w:rsidP="002336FE">
      <w:pPr>
        <w:pStyle w:val="Nadpis2"/>
        <w:rPr>
          <w:rFonts w:eastAsiaTheme="minorHAnsi"/>
        </w:rPr>
      </w:pPr>
      <w:bookmarkStart w:id="6" w:name="_Toc193446273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EC73AB" w:rsidRPr="006F3E00">
        <w:rPr>
          <w:rFonts w:eastAsiaTheme="minorHAnsi"/>
        </w:rPr>
        <w:t>MIRRI SR</w:t>
      </w:r>
      <w:bookmarkEnd w:id="6"/>
    </w:p>
    <w:p w14:paraId="673A768D" w14:textId="77777777" w:rsidR="00E738D3" w:rsidRPr="006F3E00" w:rsidRDefault="00E738D3" w:rsidP="006F3E00">
      <w:pPr>
        <w:pStyle w:val="paragraph"/>
        <w:spacing w:before="120" w:beforeAutospacing="0" w:after="120" w:afterAutospacing="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32"/>
        </w:rPr>
      </w:pPr>
      <w:r w:rsidRPr="006F3E00">
        <w:rPr>
          <w:rFonts w:asciiTheme="minorHAnsi" w:hAnsiTheme="minorHAnsi" w:cstheme="minorHAnsi"/>
          <w:color w:val="000000" w:themeColor="text1"/>
          <w:sz w:val="22"/>
          <w:szCs w:val="32"/>
        </w:rPr>
        <w:t>Tab. č. 3 Prehľad plnenia Investičných plánov MIRRI SR podľa fondov</w:t>
      </w:r>
    </w:p>
    <w:tbl>
      <w:tblPr>
        <w:tblStyle w:val="Tabukasozoznamom1svetl"/>
        <w:tblW w:w="9072" w:type="dxa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560"/>
        <w:gridCol w:w="1559"/>
        <w:gridCol w:w="1843"/>
        <w:gridCol w:w="1842"/>
      </w:tblGrid>
      <w:tr w:rsidR="00DF6966" w:rsidRPr="00EC73AB" w14:paraId="11B4D23F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vAlign w:val="center"/>
            <w:hideMark/>
          </w:tcPr>
          <w:p w14:paraId="48E2F9E1" w14:textId="77777777" w:rsidR="00DF6966" w:rsidRPr="00EC73AB" w:rsidRDefault="00DF6966" w:rsidP="0028399B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bCs w:val="0"/>
                <w:color w:val="000000" w:themeColor="text1"/>
              </w:rPr>
              <w:t>Fond</w:t>
            </w:r>
          </w:p>
        </w:tc>
        <w:tc>
          <w:tcPr>
            <w:tcW w:w="1134" w:type="dxa"/>
            <w:vAlign w:val="center"/>
            <w:hideMark/>
          </w:tcPr>
          <w:p w14:paraId="469913D7" w14:textId="77777777" w:rsidR="00DF6966" w:rsidRPr="00EC73AB" w:rsidRDefault="00DF6966" w:rsidP="00F55F31">
            <w:pPr>
              <w:ind w:right="-70" w:hanging="10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bCs w:val="0"/>
                <w:color w:val="000000" w:themeColor="text1"/>
              </w:rPr>
              <w:t>Kategória regiónov</w:t>
            </w:r>
          </w:p>
        </w:tc>
        <w:tc>
          <w:tcPr>
            <w:tcW w:w="1560" w:type="dxa"/>
            <w:vAlign w:val="center"/>
            <w:hideMark/>
          </w:tcPr>
          <w:p w14:paraId="799AF68B" w14:textId="77777777" w:rsidR="00DF6966" w:rsidRPr="00EC73AB" w:rsidRDefault="00DF6966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bCs w:val="0"/>
                <w:color w:val="000000" w:themeColor="text1"/>
              </w:rPr>
              <w:t>Alokácia</w:t>
            </w:r>
          </w:p>
        </w:tc>
        <w:tc>
          <w:tcPr>
            <w:tcW w:w="1559" w:type="dxa"/>
            <w:vAlign w:val="center"/>
            <w:hideMark/>
          </w:tcPr>
          <w:p w14:paraId="48F131B9" w14:textId="77777777" w:rsidR="00DF6966" w:rsidRPr="00EC73AB" w:rsidRDefault="00DF6966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eastAsiaTheme="majorEastAsia" w:hAnsi="Calibri" w:cs="Calibri"/>
                <w:lang w:eastAsia="sk-SK"/>
              </w:rPr>
              <w:t>Plán kontrahovania</w:t>
            </w:r>
          </w:p>
        </w:tc>
        <w:tc>
          <w:tcPr>
            <w:tcW w:w="1843" w:type="dxa"/>
            <w:vAlign w:val="center"/>
            <w:hideMark/>
          </w:tcPr>
          <w:p w14:paraId="680D7087" w14:textId="77777777" w:rsidR="00DF6966" w:rsidRPr="00EC73AB" w:rsidRDefault="00DF6966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eastAsia="Times New Roman" w:hAnsi="Calibri" w:cs="Calibri"/>
                <w:bCs w:val="0"/>
                <w:color w:val="000000"/>
                <w:lang w:eastAsia="sk-SK"/>
              </w:rPr>
              <w:t>K</w:t>
            </w: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ontrahovanie</w:t>
            </w:r>
            <w:r w:rsidRPr="00EC73AB">
              <w:rPr>
                <w:rFonts w:ascii="Calibri" w:hAnsi="Calibri" w:cs="Calibri"/>
                <w:color w:val="000000"/>
              </w:rPr>
              <w:t xml:space="preserve"> </w:t>
            </w:r>
            <w:r w:rsidRPr="00DA59E9">
              <w:rPr>
                <w:rFonts w:ascii="Calibri" w:eastAsia="Times New Roman" w:hAnsi="Calibri" w:cs="Calibri"/>
                <w:color w:val="000000"/>
                <w:lang w:eastAsia="sk-SK"/>
              </w:rPr>
              <w:t>(brutto) k 31.12.2024</w:t>
            </w:r>
          </w:p>
        </w:tc>
        <w:tc>
          <w:tcPr>
            <w:tcW w:w="1842" w:type="dxa"/>
            <w:vAlign w:val="center"/>
            <w:hideMark/>
          </w:tcPr>
          <w:p w14:paraId="66A2E194" w14:textId="77777777" w:rsidR="00DF6966" w:rsidRPr="00EC73AB" w:rsidRDefault="00DF6966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eastAsiaTheme="majorEastAsia" w:hAnsi="Calibri" w:cs="Calibri"/>
                <w:lang w:eastAsia="sk-SK"/>
              </w:rPr>
              <w:t>% plnenia plánu kontrahovania k 31.12.2024</w:t>
            </w:r>
          </w:p>
        </w:tc>
      </w:tr>
      <w:tr w:rsidR="00DF6966" w:rsidRPr="00EC73AB" w14:paraId="14151334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60F26871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EFRR</w:t>
            </w:r>
          </w:p>
        </w:tc>
        <w:tc>
          <w:tcPr>
            <w:tcW w:w="1134" w:type="dxa"/>
            <w:vAlign w:val="center"/>
            <w:hideMark/>
          </w:tcPr>
          <w:p w14:paraId="4E9DA1AC" w14:textId="77777777" w:rsidR="00DF6966" w:rsidRPr="00EC73AB" w:rsidRDefault="00DF6966" w:rsidP="00DF69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VR</w:t>
            </w:r>
          </w:p>
        </w:tc>
        <w:tc>
          <w:tcPr>
            <w:tcW w:w="1560" w:type="dxa"/>
            <w:vAlign w:val="center"/>
            <w:hideMark/>
          </w:tcPr>
          <w:p w14:paraId="10502F89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79 983 783</w:t>
            </w:r>
          </w:p>
        </w:tc>
        <w:tc>
          <w:tcPr>
            <w:tcW w:w="1559" w:type="dxa"/>
            <w:vAlign w:val="center"/>
            <w:hideMark/>
          </w:tcPr>
          <w:p w14:paraId="6F3C4B65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19 647 779</w:t>
            </w:r>
          </w:p>
        </w:tc>
        <w:tc>
          <w:tcPr>
            <w:tcW w:w="1843" w:type="dxa"/>
            <w:vAlign w:val="center"/>
            <w:hideMark/>
          </w:tcPr>
          <w:p w14:paraId="77255D78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3 044 859</w:t>
            </w:r>
          </w:p>
        </w:tc>
        <w:tc>
          <w:tcPr>
            <w:tcW w:w="1842" w:type="dxa"/>
            <w:vAlign w:val="center"/>
            <w:hideMark/>
          </w:tcPr>
          <w:p w14:paraId="6F7FC77E" w14:textId="77777777" w:rsidR="00DF6966" w:rsidRPr="00EC73AB" w:rsidRDefault="00DF6966" w:rsidP="00EC73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15,50%</w:t>
            </w:r>
          </w:p>
        </w:tc>
      </w:tr>
      <w:tr w:rsidR="00DF6966" w:rsidRPr="00EC73AB" w14:paraId="30DEB6B9" w14:textId="77777777" w:rsidTr="00DF6966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078E710F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EFRR</w:t>
            </w:r>
          </w:p>
        </w:tc>
        <w:tc>
          <w:tcPr>
            <w:tcW w:w="1134" w:type="dxa"/>
            <w:vAlign w:val="center"/>
            <w:hideMark/>
          </w:tcPr>
          <w:p w14:paraId="7E9404A4" w14:textId="77777777" w:rsidR="00DF6966" w:rsidRPr="00EC73AB" w:rsidRDefault="00DF6966" w:rsidP="00DF69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560" w:type="dxa"/>
            <w:vAlign w:val="center"/>
            <w:hideMark/>
          </w:tcPr>
          <w:p w14:paraId="0F8310A0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1 837 158 591</w:t>
            </w:r>
          </w:p>
        </w:tc>
        <w:tc>
          <w:tcPr>
            <w:tcW w:w="1559" w:type="dxa"/>
            <w:vAlign w:val="center"/>
            <w:hideMark/>
          </w:tcPr>
          <w:p w14:paraId="32218625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560 874 531</w:t>
            </w:r>
          </w:p>
        </w:tc>
        <w:tc>
          <w:tcPr>
            <w:tcW w:w="1843" w:type="dxa"/>
            <w:vAlign w:val="center"/>
            <w:hideMark/>
          </w:tcPr>
          <w:p w14:paraId="4B23FFE0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231 736 094</w:t>
            </w:r>
          </w:p>
        </w:tc>
        <w:tc>
          <w:tcPr>
            <w:tcW w:w="1842" w:type="dxa"/>
            <w:vAlign w:val="center"/>
            <w:hideMark/>
          </w:tcPr>
          <w:p w14:paraId="3F1C0453" w14:textId="77777777" w:rsidR="00DF6966" w:rsidRPr="00EC73AB" w:rsidRDefault="00DF6966" w:rsidP="00EC73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41,32%</w:t>
            </w:r>
          </w:p>
        </w:tc>
      </w:tr>
      <w:tr w:rsidR="00DF6966" w:rsidRPr="00EC73AB" w14:paraId="54E69FB3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6B14B77D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KF</w:t>
            </w:r>
          </w:p>
        </w:tc>
        <w:tc>
          <w:tcPr>
            <w:tcW w:w="1134" w:type="dxa"/>
            <w:vAlign w:val="center"/>
            <w:hideMark/>
          </w:tcPr>
          <w:p w14:paraId="14D01FEA" w14:textId="77777777" w:rsidR="00DF6966" w:rsidRPr="00EC73AB" w:rsidRDefault="00DF6966" w:rsidP="00DF69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</w:p>
        </w:tc>
        <w:tc>
          <w:tcPr>
            <w:tcW w:w="1560" w:type="dxa"/>
            <w:vAlign w:val="center"/>
            <w:hideMark/>
          </w:tcPr>
          <w:p w14:paraId="0F64FDE5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16 500 000</w:t>
            </w:r>
          </w:p>
        </w:tc>
        <w:tc>
          <w:tcPr>
            <w:tcW w:w="1559" w:type="dxa"/>
            <w:vAlign w:val="center"/>
            <w:hideMark/>
          </w:tcPr>
          <w:p w14:paraId="306D0246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0</w:t>
            </w:r>
          </w:p>
        </w:tc>
        <w:tc>
          <w:tcPr>
            <w:tcW w:w="1843" w:type="dxa"/>
            <w:vAlign w:val="center"/>
            <w:hideMark/>
          </w:tcPr>
          <w:p w14:paraId="60FD073A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0</w:t>
            </w:r>
          </w:p>
        </w:tc>
        <w:tc>
          <w:tcPr>
            <w:tcW w:w="1842" w:type="dxa"/>
            <w:vAlign w:val="center"/>
            <w:hideMark/>
          </w:tcPr>
          <w:p w14:paraId="660B2711" w14:textId="77777777" w:rsidR="00DF6966" w:rsidRPr="00EC73AB" w:rsidRDefault="00DF6966" w:rsidP="00EC73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NA</w:t>
            </w:r>
          </w:p>
        </w:tc>
      </w:tr>
      <w:tr w:rsidR="00DF6966" w:rsidRPr="00EC73AB" w14:paraId="159AB3AA" w14:textId="77777777" w:rsidTr="00DF6966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2E897EC7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FST</w:t>
            </w:r>
          </w:p>
        </w:tc>
        <w:tc>
          <w:tcPr>
            <w:tcW w:w="1134" w:type="dxa"/>
            <w:vAlign w:val="center"/>
            <w:hideMark/>
          </w:tcPr>
          <w:p w14:paraId="6BD16F95" w14:textId="77777777" w:rsidR="00DF6966" w:rsidRPr="00EC73AB" w:rsidRDefault="00DF6966" w:rsidP="00DF69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560" w:type="dxa"/>
            <w:vAlign w:val="center"/>
            <w:hideMark/>
          </w:tcPr>
          <w:p w14:paraId="5CB2986B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226 693 618</w:t>
            </w:r>
          </w:p>
        </w:tc>
        <w:tc>
          <w:tcPr>
            <w:tcW w:w="1559" w:type="dxa"/>
            <w:vAlign w:val="center"/>
            <w:hideMark/>
          </w:tcPr>
          <w:p w14:paraId="4A8E3349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167 135 716</w:t>
            </w:r>
          </w:p>
        </w:tc>
        <w:tc>
          <w:tcPr>
            <w:tcW w:w="1843" w:type="dxa"/>
            <w:vAlign w:val="center"/>
            <w:hideMark/>
          </w:tcPr>
          <w:p w14:paraId="4C525F5F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35 429 619</w:t>
            </w:r>
          </w:p>
        </w:tc>
        <w:tc>
          <w:tcPr>
            <w:tcW w:w="1842" w:type="dxa"/>
            <w:vAlign w:val="center"/>
            <w:hideMark/>
          </w:tcPr>
          <w:p w14:paraId="0F218FEA" w14:textId="77777777" w:rsidR="00DF6966" w:rsidRPr="00EC73AB" w:rsidRDefault="00DF6966" w:rsidP="00EC73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21,20%</w:t>
            </w:r>
          </w:p>
        </w:tc>
      </w:tr>
      <w:tr w:rsidR="00DF6966" w:rsidRPr="00EC73AB" w14:paraId="11659A1C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6AEB4850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TP EFRR</w:t>
            </w:r>
          </w:p>
        </w:tc>
        <w:tc>
          <w:tcPr>
            <w:tcW w:w="1134" w:type="dxa"/>
            <w:vAlign w:val="center"/>
            <w:hideMark/>
          </w:tcPr>
          <w:p w14:paraId="5F4210CF" w14:textId="77777777" w:rsidR="00DF6966" w:rsidRPr="00EC73AB" w:rsidRDefault="00DF6966" w:rsidP="00DF69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560" w:type="dxa"/>
            <w:vAlign w:val="center"/>
            <w:hideMark/>
          </w:tcPr>
          <w:p w14:paraId="048BB6D6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255 696 315</w:t>
            </w:r>
          </w:p>
        </w:tc>
        <w:tc>
          <w:tcPr>
            <w:tcW w:w="1559" w:type="dxa"/>
            <w:vAlign w:val="center"/>
            <w:hideMark/>
          </w:tcPr>
          <w:p w14:paraId="7EF1D6DA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28 028 845</w:t>
            </w:r>
          </w:p>
        </w:tc>
        <w:tc>
          <w:tcPr>
            <w:tcW w:w="1843" w:type="dxa"/>
            <w:vAlign w:val="center"/>
            <w:hideMark/>
          </w:tcPr>
          <w:p w14:paraId="1ECC625B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33 610 930</w:t>
            </w:r>
          </w:p>
        </w:tc>
        <w:tc>
          <w:tcPr>
            <w:tcW w:w="1842" w:type="dxa"/>
            <w:vAlign w:val="center"/>
            <w:hideMark/>
          </w:tcPr>
          <w:p w14:paraId="21E60BF6" w14:textId="77777777" w:rsidR="00DF6966" w:rsidRPr="00EC73AB" w:rsidRDefault="00DF6966" w:rsidP="00EC73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119,92%</w:t>
            </w:r>
          </w:p>
        </w:tc>
      </w:tr>
      <w:tr w:rsidR="00DF6966" w:rsidRPr="00EC73AB" w14:paraId="3712D325" w14:textId="77777777" w:rsidTr="00DF6966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01D5F16D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TP KF</w:t>
            </w:r>
          </w:p>
        </w:tc>
        <w:tc>
          <w:tcPr>
            <w:tcW w:w="1134" w:type="dxa"/>
            <w:vAlign w:val="center"/>
            <w:hideMark/>
          </w:tcPr>
          <w:p w14:paraId="079BA07E" w14:textId="77777777" w:rsidR="00DF6966" w:rsidRPr="00EC73AB" w:rsidRDefault="00DF6966" w:rsidP="00DF69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</w:p>
        </w:tc>
        <w:tc>
          <w:tcPr>
            <w:tcW w:w="1560" w:type="dxa"/>
            <w:vAlign w:val="center"/>
            <w:hideMark/>
          </w:tcPr>
          <w:p w14:paraId="7868B699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51 632 244</w:t>
            </w:r>
          </w:p>
        </w:tc>
        <w:tc>
          <w:tcPr>
            <w:tcW w:w="1559" w:type="dxa"/>
            <w:vAlign w:val="center"/>
            <w:hideMark/>
          </w:tcPr>
          <w:p w14:paraId="6431FE96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16 129 807</w:t>
            </w:r>
          </w:p>
        </w:tc>
        <w:tc>
          <w:tcPr>
            <w:tcW w:w="1843" w:type="dxa"/>
            <w:vAlign w:val="center"/>
            <w:hideMark/>
          </w:tcPr>
          <w:p w14:paraId="6D00AA83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9 281 749</w:t>
            </w:r>
          </w:p>
        </w:tc>
        <w:tc>
          <w:tcPr>
            <w:tcW w:w="1842" w:type="dxa"/>
            <w:vAlign w:val="center"/>
            <w:hideMark/>
          </w:tcPr>
          <w:p w14:paraId="4D9A649E" w14:textId="77777777" w:rsidR="00DF6966" w:rsidRPr="00EC73AB" w:rsidRDefault="00DF6966" w:rsidP="00EC73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57,54%</w:t>
            </w:r>
          </w:p>
        </w:tc>
      </w:tr>
      <w:tr w:rsidR="00DF6966" w:rsidRPr="00EC73AB" w14:paraId="690708B6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683B12CC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TP ESF+</w:t>
            </w:r>
          </w:p>
        </w:tc>
        <w:tc>
          <w:tcPr>
            <w:tcW w:w="1134" w:type="dxa"/>
            <w:vAlign w:val="center"/>
            <w:hideMark/>
          </w:tcPr>
          <w:p w14:paraId="3D4D0C94" w14:textId="77777777" w:rsidR="00DF6966" w:rsidRPr="00EC73AB" w:rsidRDefault="00DF6966" w:rsidP="00DF69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560" w:type="dxa"/>
            <w:vAlign w:val="center"/>
            <w:hideMark/>
          </w:tcPr>
          <w:p w14:paraId="4FE855E4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84 543 983</w:t>
            </w:r>
          </w:p>
        </w:tc>
        <w:tc>
          <w:tcPr>
            <w:tcW w:w="1559" w:type="dxa"/>
            <w:vAlign w:val="center"/>
            <w:hideMark/>
          </w:tcPr>
          <w:p w14:paraId="1F33FAA6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9 281 749</w:t>
            </w:r>
          </w:p>
        </w:tc>
        <w:tc>
          <w:tcPr>
            <w:tcW w:w="1843" w:type="dxa"/>
            <w:vAlign w:val="center"/>
            <w:hideMark/>
          </w:tcPr>
          <w:p w14:paraId="28237E95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16 129 807</w:t>
            </w:r>
          </w:p>
        </w:tc>
        <w:tc>
          <w:tcPr>
            <w:tcW w:w="1842" w:type="dxa"/>
            <w:vAlign w:val="center"/>
            <w:hideMark/>
          </w:tcPr>
          <w:p w14:paraId="74BBF085" w14:textId="77777777" w:rsidR="00DF6966" w:rsidRPr="00EC73AB" w:rsidRDefault="00DF6966" w:rsidP="00EC73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173,78%</w:t>
            </w:r>
          </w:p>
        </w:tc>
      </w:tr>
      <w:tr w:rsidR="00DF6966" w:rsidRPr="00EC73AB" w14:paraId="669F28B1" w14:textId="77777777" w:rsidTr="00DF6966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4DE62B9F" w14:textId="77777777" w:rsidR="00DF6966" w:rsidRPr="00EC73AB" w:rsidRDefault="00DF6966" w:rsidP="00DF6966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EC73AB">
              <w:rPr>
                <w:rFonts w:ascii="Calibri" w:hAnsi="Calibri" w:cs="Calibri"/>
                <w:b w:val="0"/>
                <w:color w:val="000000" w:themeColor="text1"/>
              </w:rPr>
              <w:t>TP FST</w:t>
            </w:r>
          </w:p>
        </w:tc>
        <w:tc>
          <w:tcPr>
            <w:tcW w:w="1134" w:type="dxa"/>
            <w:vAlign w:val="center"/>
            <w:hideMark/>
          </w:tcPr>
          <w:p w14:paraId="1224561F" w14:textId="77777777" w:rsidR="00DF6966" w:rsidRPr="00EC73AB" w:rsidRDefault="00DF6966" w:rsidP="00DF69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560" w:type="dxa"/>
            <w:vAlign w:val="center"/>
            <w:hideMark/>
          </w:tcPr>
          <w:p w14:paraId="17089132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18 360 759</w:t>
            </w:r>
          </w:p>
        </w:tc>
        <w:tc>
          <w:tcPr>
            <w:tcW w:w="1559" w:type="dxa"/>
            <w:vAlign w:val="center"/>
            <w:hideMark/>
          </w:tcPr>
          <w:p w14:paraId="3EB6EBE7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3 728 481</w:t>
            </w:r>
          </w:p>
        </w:tc>
        <w:tc>
          <w:tcPr>
            <w:tcW w:w="1843" w:type="dxa"/>
            <w:vAlign w:val="center"/>
            <w:hideMark/>
          </w:tcPr>
          <w:p w14:paraId="0A84D45D" w14:textId="77777777" w:rsidR="00DF6966" w:rsidRPr="00EC73AB" w:rsidRDefault="00DF6966" w:rsidP="00EC73A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3 999 747</w:t>
            </w:r>
          </w:p>
        </w:tc>
        <w:tc>
          <w:tcPr>
            <w:tcW w:w="1842" w:type="dxa"/>
            <w:vAlign w:val="center"/>
            <w:hideMark/>
          </w:tcPr>
          <w:p w14:paraId="24D3A64A" w14:textId="77777777" w:rsidR="00DF6966" w:rsidRPr="00EC73AB" w:rsidRDefault="00DF6966" w:rsidP="00EC73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107,28%</w:t>
            </w:r>
          </w:p>
        </w:tc>
      </w:tr>
      <w:tr w:rsidR="00DF6966" w:rsidRPr="00EC73AB" w14:paraId="275F0071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hideMark/>
          </w:tcPr>
          <w:p w14:paraId="02E8F6E8" w14:textId="77777777" w:rsidR="00DF6966" w:rsidRPr="00EC73AB" w:rsidRDefault="00DF6966" w:rsidP="00EC73AB">
            <w:pPr>
              <w:rPr>
                <w:rFonts w:ascii="Calibri" w:hAnsi="Calibri" w:cs="Calibri"/>
                <w:color w:val="000000" w:themeColor="text1"/>
              </w:rPr>
            </w:pPr>
            <w:r w:rsidRPr="00EC73AB">
              <w:rPr>
                <w:rFonts w:ascii="Calibri" w:hAnsi="Calibri" w:cs="Calibri"/>
                <w:color w:val="000000" w:themeColor="text1"/>
              </w:rPr>
              <w:t>Spolu</w:t>
            </w:r>
          </w:p>
        </w:tc>
        <w:tc>
          <w:tcPr>
            <w:tcW w:w="1134" w:type="dxa"/>
            <w:vAlign w:val="center"/>
            <w:hideMark/>
          </w:tcPr>
          <w:p w14:paraId="3E54C546" w14:textId="77777777" w:rsidR="00DF6966" w:rsidRPr="00EC73AB" w:rsidRDefault="00DF6966" w:rsidP="00EC73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EC73AB">
              <w:rPr>
                <w:rFonts w:ascii="Calibri" w:hAnsi="Calibri" w:cs="Calibri"/>
                <w:b/>
                <w:bCs/>
                <w:color w:val="000000" w:themeColor="text1"/>
              </w:rPr>
              <w:t> </w:t>
            </w:r>
          </w:p>
        </w:tc>
        <w:tc>
          <w:tcPr>
            <w:tcW w:w="1560" w:type="dxa"/>
            <w:noWrap/>
            <w:vAlign w:val="center"/>
            <w:hideMark/>
          </w:tcPr>
          <w:p w14:paraId="5520E19A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EC73AB">
              <w:rPr>
                <w:rFonts w:ascii="Calibri" w:hAnsi="Calibri" w:cs="Calibri"/>
                <w:b/>
                <w:bCs/>
                <w:color w:val="000000" w:themeColor="text1"/>
              </w:rPr>
              <w:t>2 570 569 293</w:t>
            </w:r>
          </w:p>
        </w:tc>
        <w:tc>
          <w:tcPr>
            <w:tcW w:w="1559" w:type="dxa"/>
            <w:noWrap/>
            <w:vAlign w:val="center"/>
            <w:hideMark/>
          </w:tcPr>
          <w:p w14:paraId="697BB340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EC73AB">
              <w:rPr>
                <w:rFonts w:ascii="Calibri" w:hAnsi="Calibri" w:cs="Calibri"/>
                <w:b/>
                <w:bCs/>
                <w:color w:val="000000" w:themeColor="text1"/>
              </w:rPr>
              <w:t>804 826 908</w:t>
            </w:r>
          </w:p>
        </w:tc>
        <w:tc>
          <w:tcPr>
            <w:tcW w:w="1843" w:type="dxa"/>
            <w:noWrap/>
            <w:vAlign w:val="center"/>
            <w:hideMark/>
          </w:tcPr>
          <w:p w14:paraId="49988414" w14:textId="77777777" w:rsidR="00DF6966" w:rsidRPr="00EC73AB" w:rsidRDefault="00DF6966" w:rsidP="00EC73A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EC73AB">
              <w:rPr>
                <w:rFonts w:ascii="Calibri" w:hAnsi="Calibri" w:cs="Calibri"/>
                <w:b/>
                <w:bCs/>
                <w:color w:val="000000" w:themeColor="text1"/>
              </w:rPr>
              <w:t>333 232 804</w:t>
            </w:r>
          </w:p>
        </w:tc>
        <w:tc>
          <w:tcPr>
            <w:tcW w:w="1842" w:type="dxa"/>
            <w:noWrap/>
            <w:vAlign w:val="center"/>
            <w:hideMark/>
          </w:tcPr>
          <w:p w14:paraId="7B0FC755" w14:textId="77777777" w:rsidR="00DF6966" w:rsidRPr="00EC73AB" w:rsidRDefault="00DF6966" w:rsidP="00EC73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EC73AB">
              <w:rPr>
                <w:rFonts w:ascii="Calibri" w:hAnsi="Calibri" w:cs="Calibri"/>
                <w:b/>
                <w:bCs/>
                <w:color w:val="000000" w:themeColor="text1"/>
              </w:rPr>
              <w:t>41,40%</w:t>
            </w:r>
          </w:p>
        </w:tc>
      </w:tr>
    </w:tbl>
    <w:p w14:paraId="02A0AC92" w14:textId="77777777" w:rsidR="00EC73AB" w:rsidRDefault="007C6892" w:rsidP="00EC73AB">
      <w:pPr>
        <w:spacing w:after="0" w:line="240" w:lineRule="auto"/>
        <w:rPr>
          <w:b/>
          <w:color w:val="000000" w:themeColor="text1"/>
          <w:sz w:val="28"/>
          <w:szCs w:val="32"/>
        </w:rPr>
      </w:pPr>
      <w:r>
        <w:rPr>
          <w:b/>
          <w:color w:val="000000" w:themeColor="text1"/>
          <w:sz w:val="28"/>
          <w:szCs w:val="32"/>
        </w:rPr>
        <w:t xml:space="preserve"> </w:t>
      </w:r>
    </w:p>
    <w:p w14:paraId="69091562" w14:textId="77777777" w:rsidR="00812D6F" w:rsidRDefault="00812D6F" w:rsidP="007C6892">
      <w:pPr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>
        <w:rPr>
          <w:rFonts w:ascii="Calibri" w:eastAsia="Times New Roman" w:hAnsi="Calibri" w:cs="Calibri"/>
          <w:lang w:eastAsia="ar-SA"/>
        </w:rPr>
        <w:t>MIRRI SR plní plán kontrahovania investičného plánu na 41,40 %.</w:t>
      </w:r>
    </w:p>
    <w:p w14:paraId="1C864139" w14:textId="00EFFE02" w:rsidR="00486CEC" w:rsidRDefault="00486CEC" w:rsidP="007C6892">
      <w:pPr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>
        <w:rPr>
          <w:rFonts w:ascii="Calibri" w:eastAsia="Times New Roman" w:hAnsi="Calibri" w:cs="Calibri"/>
          <w:lang w:eastAsia="ar-SA"/>
        </w:rPr>
        <w:t>Najvyššie plnenie (viac ako 100 %) dosahujú fondy za technická pomoc, okrem TP KF, kde je plnenie len 57,</w:t>
      </w:r>
      <w:r w:rsidR="00D73D04">
        <w:rPr>
          <w:rFonts w:ascii="Calibri" w:eastAsia="Times New Roman" w:hAnsi="Calibri" w:cs="Calibri"/>
          <w:lang w:eastAsia="ar-SA"/>
        </w:rPr>
        <w:t>5</w:t>
      </w:r>
      <w:r>
        <w:rPr>
          <w:rFonts w:ascii="Calibri" w:eastAsia="Times New Roman" w:hAnsi="Calibri" w:cs="Calibri"/>
          <w:lang w:eastAsia="ar-SA"/>
        </w:rPr>
        <w:t xml:space="preserve">4 %. Nízke plnenie plánu kontrahovania vykazuje fond EFRR </w:t>
      </w:r>
      <w:r w:rsidR="002F07A5">
        <w:rPr>
          <w:rFonts w:ascii="Calibri" w:eastAsia="Times New Roman" w:hAnsi="Calibri" w:cs="Calibri"/>
          <w:lang w:eastAsia="ar-SA"/>
        </w:rPr>
        <w:t>(</w:t>
      </w:r>
      <w:r w:rsidR="00D73D04">
        <w:rPr>
          <w:rFonts w:ascii="Calibri" w:eastAsia="Times New Roman" w:hAnsi="Calibri" w:cs="Calibri"/>
          <w:lang w:eastAsia="ar-SA"/>
        </w:rPr>
        <w:t>menej rozvinutý región</w:t>
      </w:r>
      <w:r w:rsidR="002F07A5">
        <w:rPr>
          <w:rFonts w:ascii="Calibri" w:eastAsia="Times New Roman" w:hAnsi="Calibri" w:cs="Calibri"/>
          <w:lang w:eastAsia="ar-SA"/>
        </w:rPr>
        <w:t xml:space="preserve"> 41,32 % a</w:t>
      </w:r>
      <w:r w:rsidR="00D73D04">
        <w:rPr>
          <w:rFonts w:ascii="Calibri" w:eastAsia="Times New Roman" w:hAnsi="Calibri" w:cs="Calibri"/>
          <w:lang w:eastAsia="ar-SA"/>
        </w:rPr>
        <w:t> viac rozvinutý región</w:t>
      </w:r>
      <w:r w:rsidR="002F07A5">
        <w:rPr>
          <w:rFonts w:ascii="Calibri" w:eastAsia="Times New Roman" w:hAnsi="Calibri" w:cs="Calibri"/>
          <w:lang w:eastAsia="ar-SA"/>
        </w:rPr>
        <w:t xml:space="preserve"> 15,50 %)</w:t>
      </w:r>
      <w:r>
        <w:rPr>
          <w:rFonts w:ascii="Calibri" w:eastAsia="Times New Roman" w:hAnsi="Calibri" w:cs="Calibri"/>
          <w:lang w:eastAsia="ar-SA"/>
        </w:rPr>
        <w:t> </w:t>
      </w:r>
      <w:r w:rsidR="002F07A5">
        <w:rPr>
          <w:rFonts w:ascii="Calibri" w:eastAsia="Times New Roman" w:hAnsi="Calibri" w:cs="Calibri"/>
          <w:lang w:eastAsia="ar-SA"/>
        </w:rPr>
        <w:t>a</w:t>
      </w:r>
      <w:r w:rsidR="00D73D04">
        <w:rPr>
          <w:rFonts w:ascii="Calibri" w:eastAsia="Times New Roman" w:hAnsi="Calibri" w:cs="Calibri"/>
          <w:lang w:eastAsia="ar-SA"/>
        </w:rPr>
        <w:t> </w:t>
      </w:r>
      <w:r w:rsidR="009D73A6">
        <w:rPr>
          <w:rFonts w:ascii="Calibri" w:eastAsia="Times New Roman" w:hAnsi="Calibri" w:cs="Calibri"/>
          <w:lang w:eastAsia="ar-SA"/>
        </w:rPr>
        <w:t>F</w:t>
      </w:r>
      <w:r w:rsidR="00D73D04">
        <w:rPr>
          <w:rFonts w:ascii="Calibri" w:eastAsia="Times New Roman" w:hAnsi="Calibri" w:cs="Calibri"/>
          <w:lang w:eastAsia="ar-SA"/>
        </w:rPr>
        <w:t>ond spravodlivej transformácie</w:t>
      </w:r>
      <w:r w:rsidR="002F07A5">
        <w:rPr>
          <w:rFonts w:ascii="Calibri" w:eastAsia="Times New Roman" w:hAnsi="Calibri" w:cs="Calibri"/>
          <w:lang w:eastAsia="ar-SA"/>
        </w:rPr>
        <w:t xml:space="preserve"> (21,20 %)</w:t>
      </w:r>
      <w:r>
        <w:rPr>
          <w:rFonts w:ascii="Calibri" w:eastAsia="Times New Roman" w:hAnsi="Calibri" w:cs="Calibri"/>
          <w:lang w:eastAsia="ar-SA"/>
        </w:rPr>
        <w:t>.</w:t>
      </w:r>
    </w:p>
    <w:p w14:paraId="6580F269" w14:textId="77777777" w:rsidR="00812D6F" w:rsidRDefault="00486CEC" w:rsidP="007C6892">
      <w:pPr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>
        <w:rPr>
          <w:rFonts w:ascii="Calibri" w:eastAsia="Times New Roman" w:hAnsi="Calibri" w:cs="Calibri"/>
          <w:lang w:eastAsia="ar-SA"/>
        </w:rPr>
        <w:t xml:space="preserve"> </w:t>
      </w:r>
    </w:p>
    <w:p w14:paraId="1EE083A8" w14:textId="77777777" w:rsidR="006246C0" w:rsidRPr="006F3E00" w:rsidRDefault="00B97401" w:rsidP="002336FE">
      <w:pPr>
        <w:pStyle w:val="Nadpis3"/>
        <w:rPr>
          <w:rFonts w:eastAsiaTheme="minorHAnsi"/>
        </w:rPr>
      </w:pPr>
      <w:bookmarkStart w:id="7" w:name="_Toc193446274"/>
      <w:r w:rsidRPr="006F3E00">
        <w:rPr>
          <w:rFonts w:eastAsiaTheme="minorHAnsi"/>
        </w:rPr>
        <w:t>Sekcia implementácie Programu Slovensko</w:t>
      </w:r>
      <w:bookmarkEnd w:id="7"/>
    </w:p>
    <w:p w14:paraId="262791E2" w14:textId="4E620B55" w:rsidR="00364647" w:rsidRPr="006F3E00" w:rsidRDefault="00364647" w:rsidP="006F3E00">
      <w:pPr>
        <w:pStyle w:val="paragraph"/>
        <w:spacing w:before="120" w:beforeAutospacing="0" w:after="120" w:afterAutospacing="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32"/>
        </w:rPr>
      </w:pPr>
      <w:r w:rsidRPr="006F3E00">
        <w:rPr>
          <w:rFonts w:asciiTheme="minorHAnsi" w:eastAsiaTheme="minorHAnsi" w:hAnsiTheme="minorHAnsi" w:cstheme="minorHAnsi"/>
          <w:color w:val="000000" w:themeColor="text1"/>
          <w:sz w:val="22"/>
          <w:szCs w:val="32"/>
        </w:rPr>
        <w:t>Tab</w:t>
      </w:r>
      <w:r w:rsidRPr="006F3E00">
        <w:rPr>
          <w:rFonts w:asciiTheme="minorHAnsi" w:hAnsiTheme="minorHAnsi" w:cstheme="minorHAnsi"/>
          <w:color w:val="000000" w:themeColor="text1"/>
          <w:sz w:val="22"/>
          <w:szCs w:val="32"/>
        </w:rPr>
        <w:t xml:space="preserve">. č. 4 Prehľad plnenia Investičných plánov </w:t>
      </w:r>
      <w:r w:rsidR="00CC6C67">
        <w:rPr>
          <w:rFonts w:asciiTheme="minorHAnsi" w:hAnsiTheme="minorHAnsi" w:cstheme="minorHAnsi"/>
          <w:color w:val="000000" w:themeColor="text1"/>
          <w:sz w:val="22"/>
          <w:szCs w:val="32"/>
        </w:rPr>
        <w:t>SIPS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968"/>
        <w:gridCol w:w="1159"/>
        <w:gridCol w:w="1701"/>
        <w:gridCol w:w="1559"/>
        <w:gridCol w:w="1843"/>
        <w:gridCol w:w="1832"/>
      </w:tblGrid>
      <w:tr w:rsidR="00364647" w:rsidRPr="00364647" w14:paraId="719BDE13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8" w:type="dxa"/>
            <w:vAlign w:val="center"/>
            <w:hideMark/>
          </w:tcPr>
          <w:p w14:paraId="57145A60" w14:textId="77777777" w:rsidR="00364647" w:rsidRPr="00364647" w:rsidRDefault="00364647" w:rsidP="0028399B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Fond</w:t>
            </w:r>
          </w:p>
        </w:tc>
        <w:tc>
          <w:tcPr>
            <w:tcW w:w="1159" w:type="dxa"/>
            <w:vAlign w:val="center"/>
            <w:hideMark/>
          </w:tcPr>
          <w:p w14:paraId="42DBF575" w14:textId="77777777" w:rsidR="00364647" w:rsidRPr="00364647" w:rsidRDefault="00364647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Kategória regiónov</w:t>
            </w:r>
          </w:p>
        </w:tc>
        <w:tc>
          <w:tcPr>
            <w:tcW w:w="1701" w:type="dxa"/>
            <w:vAlign w:val="center"/>
            <w:hideMark/>
          </w:tcPr>
          <w:p w14:paraId="0B646884" w14:textId="77777777" w:rsidR="00364647" w:rsidRPr="00364647" w:rsidRDefault="00364647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Alokácia</w:t>
            </w:r>
          </w:p>
        </w:tc>
        <w:tc>
          <w:tcPr>
            <w:tcW w:w="1559" w:type="dxa"/>
            <w:vAlign w:val="center"/>
            <w:hideMark/>
          </w:tcPr>
          <w:p w14:paraId="260A4FB8" w14:textId="77777777" w:rsidR="00364647" w:rsidRPr="00364647" w:rsidRDefault="00364647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Plán kontrahovania</w:t>
            </w:r>
          </w:p>
        </w:tc>
        <w:tc>
          <w:tcPr>
            <w:tcW w:w="1843" w:type="dxa"/>
            <w:vAlign w:val="center"/>
            <w:hideMark/>
          </w:tcPr>
          <w:p w14:paraId="74A10F6C" w14:textId="77777777" w:rsidR="00364647" w:rsidRPr="00364647" w:rsidRDefault="00364647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 xml:space="preserve">Kontrahovanie (brutto) </w:t>
            </w:r>
            <w:r w:rsidRPr="00364647">
              <w:rPr>
                <w:rFonts w:ascii="Calibri" w:hAnsi="Calibri" w:cs="Calibri"/>
                <w:color w:val="000000" w:themeColor="text1"/>
              </w:rPr>
              <w:br/>
              <w:t>k 31.12.2024</w:t>
            </w:r>
          </w:p>
        </w:tc>
        <w:tc>
          <w:tcPr>
            <w:tcW w:w="1832" w:type="dxa"/>
            <w:vAlign w:val="center"/>
            <w:hideMark/>
          </w:tcPr>
          <w:p w14:paraId="61D98A4F" w14:textId="77777777" w:rsidR="00364647" w:rsidRPr="00364647" w:rsidRDefault="00364647" w:rsidP="00283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% plnenia plánu kontrahovania k 31.12.2024</w:t>
            </w:r>
          </w:p>
        </w:tc>
      </w:tr>
      <w:tr w:rsidR="00364647" w:rsidRPr="00364647" w14:paraId="481F0EE2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8" w:type="dxa"/>
            <w:vAlign w:val="center"/>
            <w:hideMark/>
          </w:tcPr>
          <w:p w14:paraId="03A375E4" w14:textId="77777777" w:rsidR="00364647" w:rsidRPr="00364647" w:rsidRDefault="00364647" w:rsidP="00364647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364647">
              <w:rPr>
                <w:rFonts w:ascii="Calibri" w:hAnsi="Calibri" w:cs="Calibri"/>
                <w:b w:val="0"/>
                <w:color w:val="000000" w:themeColor="text1"/>
              </w:rPr>
              <w:t>EFRR</w:t>
            </w:r>
          </w:p>
        </w:tc>
        <w:tc>
          <w:tcPr>
            <w:tcW w:w="1159" w:type="dxa"/>
            <w:vAlign w:val="center"/>
            <w:hideMark/>
          </w:tcPr>
          <w:p w14:paraId="30EE7064" w14:textId="77777777" w:rsidR="00364647" w:rsidRPr="00364647" w:rsidRDefault="00364647" w:rsidP="003646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VR</w:t>
            </w:r>
          </w:p>
        </w:tc>
        <w:tc>
          <w:tcPr>
            <w:tcW w:w="1701" w:type="dxa"/>
            <w:vAlign w:val="center"/>
            <w:hideMark/>
          </w:tcPr>
          <w:p w14:paraId="465A6785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42 183 783</w:t>
            </w:r>
          </w:p>
        </w:tc>
        <w:tc>
          <w:tcPr>
            <w:tcW w:w="1559" w:type="dxa"/>
            <w:vAlign w:val="center"/>
            <w:hideMark/>
          </w:tcPr>
          <w:p w14:paraId="15424631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16 873 513</w:t>
            </w:r>
          </w:p>
        </w:tc>
        <w:tc>
          <w:tcPr>
            <w:tcW w:w="1843" w:type="dxa"/>
            <w:vAlign w:val="center"/>
            <w:hideMark/>
          </w:tcPr>
          <w:p w14:paraId="2A8B765B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130 940</w:t>
            </w:r>
          </w:p>
        </w:tc>
        <w:tc>
          <w:tcPr>
            <w:tcW w:w="1832" w:type="dxa"/>
            <w:vAlign w:val="center"/>
            <w:hideMark/>
          </w:tcPr>
          <w:p w14:paraId="43484F82" w14:textId="77777777" w:rsidR="00364647" w:rsidRPr="00364647" w:rsidRDefault="00364647" w:rsidP="003646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0,78%</w:t>
            </w:r>
          </w:p>
        </w:tc>
      </w:tr>
      <w:tr w:rsidR="00364647" w:rsidRPr="00364647" w14:paraId="4B5D9DD2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8" w:type="dxa"/>
            <w:vAlign w:val="center"/>
            <w:hideMark/>
          </w:tcPr>
          <w:p w14:paraId="6A8ADA14" w14:textId="77777777" w:rsidR="00364647" w:rsidRPr="00364647" w:rsidRDefault="00364647" w:rsidP="00364647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364647">
              <w:rPr>
                <w:rFonts w:ascii="Calibri" w:hAnsi="Calibri" w:cs="Calibri"/>
                <w:b w:val="0"/>
                <w:color w:val="000000" w:themeColor="text1"/>
              </w:rPr>
              <w:t>EFRR</w:t>
            </w:r>
          </w:p>
        </w:tc>
        <w:tc>
          <w:tcPr>
            <w:tcW w:w="1159" w:type="dxa"/>
            <w:vAlign w:val="center"/>
            <w:hideMark/>
          </w:tcPr>
          <w:p w14:paraId="6BDD1345" w14:textId="77777777" w:rsidR="00364647" w:rsidRPr="00364647" w:rsidRDefault="00364647" w:rsidP="003646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MR</w:t>
            </w:r>
          </w:p>
        </w:tc>
        <w:tc>
          <w:tcPr>
            <w:tcW w:w="1701" w:type="dxa"/>
            <w:vAlign w:val="center"/>
            <w:hideMark/>
          </w:tcPr>
          <w:p w14:paraId="1B392E63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1 288 575 506</w:t>
            </w:r>
          </w:p>
        </w:tc>
        <w:tc>
          <w:tcPr>
            <w:tcW w:w="1559" w:type="dxa"/>
            <w:vAlign w:val="center"/>
            <w:hideMark/>
          </w:tcPr>
          <w:p w14:paraId="7BB54A3A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515 430 202</w:t>
            </w:r>
          </w:p>
        </w:tc>
        <w:tc>
          <w:tcPr>
            <w:tcW w:w="1843" w:type="dxa"/>
            <w:vAlign w:val="center"/>
            <w:hideMark/>
          </w:tcPr>
          <w:p w14:paraId="74ED9119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187 704 242</w:t>
            </w:r>
          </w:p>
        </w:tc>
        <w:tc>
          <w:tcPr>
            <w:tcW w:w="1832" w:type="dxa"/>
            <w:vAlign w:val="center"/>
            <w:hideMark/>
          </w:tcPr>
          <w:p w14:paraId="58E45A00" w14:textId="77777777" w:rsidR="00364647" w:rsidRPr="00364647" w:rsidRDefault="00364647" w:rsidP="003646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36,42%</w:t>
            </w:r>
          </w:p>
        </w:tc>
      </w:tr>
      <w:tr w:rsidR="00364647" w:rsidRPr="00364647" w14:paraId="1FF61C97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8" w:type="dxa"/>
            <w:vAlign w:val="center"/>
            <w:hideMark/>
          </w:tcPr>
          <w:p w14:paraId="617C69BD" w14:textId="77777777" w:rsidR="00364647" w:rsidRPr="00364647" w:rsidRDefault="00364647" w:rsidP="00364647">
            <w:pPr>
              <w:jc w:val="center"/>
              <w:rPr>
                <w:rFonts w:ascii="Calibri" w:hAnsi="Calibri" w:cs="Calibri"/>
                <w:b w:val="0"/>
                <w:color w:val="000000" w:themeColor="text1"/>
              </w:rPr>
            </w:pPr>
            <w:r w:rsidRPr="00364647">
              <w:rPr>
                <w:rFonts w:ascii="Calibri" w:hAnsi="Calibri" w:cs="Calibri"/>
                <w:b w:val="0"/>
                <w:color w:val="000000" w:themeColor="text1"/>
              </w:rPr>
              <w:t>KF</w:t>
            </w:r>
          </w:p>
        </w:tc>
        <w:tc>
          <w:tcPr>
            <w:tcW w:w="1159" w:type="dxa"/>
            <w:vAlign w:val="center"/>
            <w:hideMark/>
          </w:tcPr>
          <w:p w14:paraId="7CF15970" w14:textId="77777777" w:rsidR="00364647" w:rsidRPr="00364647" w:rsidRDefault="00364647" w:rsidP="003646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/>
              </w:rPr>
              <w:t>N/A</w:t>
            </w:r>
          </w:p>
        </w:tc>
        <w:tc>
          <w:tcPr>
            <w:tcW w:w="1701" w:type="dxa"/>
            <w:vAlign w:val="center"/>
            <w:hideMark/>
          </w:tcPr>
          <w:p w14:paraId="52011F76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16 500 000</w:t>
            </w:r>
          </w:p>
        </w:tc>
        <w:tc>
          <w:tcPr>
            <w:tcW w:w="1559" w:type="dxa"/>
            <w:vAlign w:val="center"/>
            <w:hideMark/>
          </w:tcPr>
          <w:p w14:paraId="1020E2CA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0</w:t>
            </w:r>
          </w:p>
        </w:tc>
        <w:tc>
          <w:tcPr>
            <w:tcW w:w="1843" w:type="dxa"/>
            <w:noWrap/>
            <w:vAlign w:val="center"/>
            <w:hideMark/>
          </w:tcPr>
          <w:p w14:paraId="58A90898" w14:textId="77777777" w:rsidR="00364647" w:rsidRPr="00364647" w:rsidRDefault="00364647" w:rsidP="003646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0</w:t>
            </w:r>
          </w:p>
        </w:tc>
        <w:tc>
          <w:tcPr>
            <w:tcW w:w="1832" w:type="dxa"/>
            <w:vAlign w:val="center"/>
            <w:hideMark/>
          </w:tcPr>
          <w:p w14:paraId="67BB854F" w14:textId="77777777" w:rsidR="00364647" w:rsidRPr="00364647" w:rsidRDefault="00364647" w:rsidP="003646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N/A</w:t>
            </w:r>
          </w:p>
        </w:tc>
      </w:tr>
      <w:tr w:rsidR="00364647" w:rsidRPr="00364647" w14:paraId="010E468F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gridSpan w:val="2"/>
            <w:vAlign w:val="center"/>
            <w:hideMark/>
          </w:tcPr>
          <w:p w14:paraId="3FB38E1E" w14:textId="77777777" w:rsidR="00364647" w:rsidRPr="00364647" w:rsidRDefault="00364647" w:rsidP="00364647">
            <w:pPr>
              <w:rPr>
                <w:rFonts w:ascii="Calibri" w:hAnsi="Calibri" w:cs="Calibri"/>
                <w:color w:val="000000" w:themeColor="text1"/>
              </w:rPr>
            </w:pPr>
            <w:r w:rsidRPr="00364647">
              <w:rPr>
                <w:rFonts w:ascii="Calibri" w:hAnsi="Calibri" w:cs="Calibri"/>
                <w:color w:val="000000" w:themeColor="text1"/>
              </w:rPr>
              <w:t>Spolu</w:t>
            </w:r>
          </w:p>
        </w:tc>
        <w:tc>
          <w:tcPr>
            <w:tcW w:w="1701" w:type="dxa"/>
            <w:noWrap/>
            <w:vAlign w:val="center"/>
            <w:hideMark/>
          </w:tcPr>
          <w:p w14:paraId="665FF6C1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</w:rPr>
              <w:t>1 347 259 289</w:t>
            </w:r>
          </w:p>
        </w:tc>
        <w:tc>
          <w:tcPr>
            <w:tcW w:w="1559" w:type="dxa"/>
            <w:vAlign w:val="center"/>
            <w:hideMark/>
          </w:tcPr>
          <w:p w14:paraId="0A8A2C7F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</w:rPr>
              <w:t>532 303 715</w:t>
            </w:r>
          </w:p>
        </w:tc>
        <w:tc>
          <w:tcPr>
            <w:tcW w:w="1843" w:type="dxa"/>
            <w:vAlign w:val="center"/>
            <w:hideMark/>
          </w:tcPr>
          <w:p w14:paraId="71D9CA91" w14:textId="77777777" w:rsidR="00364647" w:rsidRPr="00364647" w:rsidRDefault="00364647" w:rsidP="003646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</w:rPr>
              <w:t>187 835 182</w:t>
            </w:r>
          </w:p>
        </w:tc>
        <w:tc>
          <w:tcPr>
            <w:tcW w:w="1832" w:type="dxa"/>
            <w:vAlign w:val="center"/>
            <w:hideMark/>
          </w:tcPr>
          <w:p w14:paraId="4B3D12FD" w14:textId="77777777" w:rsidR="00364647" w:rsidRPr="00364647" w:rsidRDefault="00364647" w:rsidP="003646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</w:rPr>
              <w:t>35,29%</w:t>
            </w:r>
          </w:p>
        </w:tc>
      </w:tr>
    </w:tbl>
    <w:p w14:paraId="1BB59CD7" w14:textId="77777777" w:rsidR="007C6892" w:rsidRDefault="007C6892" w:rsidP="001C548F">
      <w:pPr>
        <w:spacing w:after="0" w:line="240" w:lineRule="auto"/>
        <w:rPr>
          <w:b/>
          <w:color w:val="000000" w:themeColor="text1"/>
          <w:sz w:val="24"/>
          <w:szCs w:val="32"/>
        </w:rPr>
      </w:pPr>
    </w:p>
    <w:p w14:paraId="214EA320" w14:textId="225991F9" w:rsidR="00F74155" w:rsidRDefault="00DE26B5" w:rsidP="00DE26B5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>K</w:t>
      </w:r>
      <w:r w:rsidR="005A585C">
        <w:rPr>
          <w:rFonts w:cstheme="minorHAnsi"/>
          <w:color w:val="000000" w:themeColor="text1"/>
          <w:szCs w:val="32"/>
        </w:rPr>
        <w:t> 31.</w:t>
      </w:r>
      <w:r>
        <w:rPr>
          <w:rFonts w:cstheme="minorHAnsi"/>
          <w:color w:val="000000" w:themeColor="text1"/>
          <w:szCs w:val="32"/>
        </w:rPr>
        <w:t xml:space="preserve"> </w:t>
      </w:r>
      <w:r w:rsidR="005A585C">
        <w:rPr>
          <w:rFonts w:cstheme="minorHAnsi"/>
          <w:color w:val="000000" w:themeColor="text1"/>
          <w:szCs w:val="32"/>
        </w:rPr>
        <w:t>12.</w:t>
      </w:r>
      <w:r>
        <w:rPr>
          <w:rFonts w:cstheme="minorHAnsi"/>
          <w:color w:val="000000" w:themeColor="text1"/>
          <w:szCs w:val="32"/>
        </w:rPr>
        <w:t xml:space="preserve"> </w:t>
      </w:r>
      <w:r w:rsidR="005A585C">
        <w:rPr>
          <w:rFonts w:cstheme="minorHAnsi"/>
          <w:color w:val="000000" w:themeColor="text1"/>
          <w:szCs w:val="32"/>
        </w:rPr>
        <w:t>2024</w:t>
      </w:r>
      <w:r>
        <w:rPr>
          <w:rFonts w:cstheme="minorHAnsi"/>
          <w:color w:val="000000" w:themeColor="text1"/>
          <w:szCs w:val="32"/>
        </w:rPr>
        <w:t xml:space="preserve"> je</w:t>
      </w:r>
      <w:r w:rsidR="005A585C">
        <w:rPr>
          <w:rFonts w:cstheme="minorHAnsi"/>
          <w:color w:val="000000" w:themeColor="text1"/>
          <w:szCs w:val="32"/>
        </w:rPr>
        <w:t xml:space="preserve"> kontrahovanie</w:t>
      </w:r>
      <w:r w:rsidR="008E16DE">
        <w:rPr>
          <w:rFonts w:cstheme="minorHAnsi"/>
          <w:color w:val="000000" w:themeColor="text1"/>
          <w:szCs w:val="32"/>
        </w:rPr>
        <w:t xml:space="preserve"> </w:t>
      </w:r>
      <w:r w:rsidR="005A585C">
        <w:rPr>
          <w:rFonts w:cstheme="minorHAnsi"/>
          <w:color w:val="000000" w:themeColor="text1"/>
          <w:szCs w:val="32"/>
        </w:rPr>
        <w:t xml:space="preserve">187,84 mil. EUR, pričom </w:t>
      </w:r>
      <w:r w:rsidR="008E16DE">
        <w:rPr>
          <w:rFonts w:cstheme="minorHAnsi"/>
          <w:color w:val="000000" w:themeColor="text1"/>
          <w:szCs w:val="32"/>
        </w:rPr>
        <w:t>plán</w:t>
      </w:r>
      <w:r w:rsidR="005A585C">
        <w:rPr>
          <w:rFonts w:cstheme="minorHAnsi"/>
          <w:color w:val="000000" w:themeColor="text1"/>
          <w:szCs w:val="32"/>
        </w:rPr>
        <w:t xml:space="preserve"> </w:t>
      </w:r>
      <w:r>
        <w:rPr>
          <w:rFonts w:cstheme="minorHAnsi"/>
          <w:color w:val="000000" w:themeColor="text1"/>
          <w:szCs w:val="32"/>
        </w:rPr>
        <w:t>bol</w:t>
      </w:r>
      <w:r w:rsidR="008E16DE">
        <w:rPr>
          <w:rFonts w:cstheme="minorHAnsi"/>
          <w:color w:val="000000" w:themeColor="text1"/>
          <w:szCs w:val="32"/>
        </w:rPr>
        <w:t xml:space="preserve"> zakontrahovať</w:t>
      </w:r>
      <w:r w:rsidR="00441878">
        <w:rPr>
          <w:rFonts w:cstheme="minorHAnsi"/>
          <w:color w:val="000000" w:themeColor="text1"/>
          <w:szCs w:val="32"/>
        </w:rPr>
        <w:t xml:space="preserve"> 532,3</w:t>
      </w:r>
      <w:r>
        <w:rPr>
          <w:rFonts w:cstheme="minorHAnsi"/>
          <w:color w:val="000000" w:themeColor="text1"/>
          <w:szCs w:val="32"/>
        </w:rPr>
        <w:t>0</w:t>
      </w:r>
      <w:r w:rsidR="005A585C">
        <w:rPr>
          <w:rFonts w:cstheme="minorHAnsi"/>
          <w:color w:val="000000" w:themeColor="text1"/>
          <w:szCs w:val="32"/>
        </w:rPr>
        <w:t xml:space="preserve"> </w:t>
      </w:r>
      <w:r w:rsidR="008E16DE">
        <w:rPr>
          <w:rFonts w:cstheme="minorHAnsi"/>
          <w:color w:val="000000" w:themeColor="text1"/>
          <w:szCs w:val="32"/>
        </w:rPr>
        <w:t>mil.</w:t>
      </w:r>
      <w:r w:rsidR="005A585C">
        <w:rPr>
          <w:rFonts w:cstheme="minorHAnsi"/>
          <w:color w:val="000000" w:themeColor="text1"/>
          <w:szCs w:val="32"/>
        </w:rPr>
        <w:t xml:space="preserve"> </w:t>
      </w:r>
      <w:r w:rsidR="008E16DE">
        <w:rPr>
          <w:rFonts w:cstheme="minorHAnsi"/>
          <w:color w:val="000000" w:themeColor="text1"/>
          <w:szCs w:val="32"/>
        </w:rPr>
        <w:t>EUR</w:t>
      </w:r>
      <w:r>
        <w:rPr>
          <w:rFonts w:cstheme="minorHAnsi"/>
          <w:color w:val="000000" w:themeColor="text1"/>
          <w:szCs w:val="32"/>
        </w:rPr>
        <w:t xml:space="preserve">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>e plánu je na úrovni 35,29 %</w:t>
      </w:r>
      <w:r>
        <w:rPr>
          <w:rFonts w:cstheme="minorHAnsi"/>
          <w:color w:val="000000" w:themeColor="text1"/>
          <w:szCs w:val="32"/>
        </w:rPr>
        <w:t>. A to aj napriek tomu, že si SIPS znížil</w:t>
      </w:r>
      <w:r w:rsidR="00D73D04">
        <w:rPr>
          <w:rFonts w:cstheme="minorHAnsi"/>
          <w:color w:val="000000" w:themeColor="text1"/>
          <w:szCs w:val="32"/>
        </w:rPr>
        <w:t>a</w:t>
      </w:r>
      <w:r>
        <w:rPr>
          <w:rFonts w:cstheme="minorHAnsi"/>
          <w:color w:val="000000" w:themeColor="text1"/>
          <w:szCs w:val="32"/>
        </w:rPr>
        <w:t xml:space="preserve"> plán kontrahovania o 183,16 mil. EUR, z pôvodných 715,46 mil. EUR na 532,30 mil. EUR.</w:t>
      </w:r>
    </w:p>
    <w:p w14:paraId="60D4B862" w14:textId="6141CBFB" w:rsidR="007C6892" w:rsidRDefault="00F74155" w:rsidP="00DE26B5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  <w:r w:rsidRPr="00F74155">
        <w:rPr>
          <w:rFonts w:cstheme="minorHAnsi"/>
          <w:b/>
          <w:color w:val="000000" w:themeColor="text1"/>
          <w:szCs w:val="32"/>
        </w:rPr>
        <w:t>Kontrahovanie v rámci SIPS je podpriemerné, pričom z pridelenej alokácie mu zostáva zakontrahovať 1,16 mld. EUR, čo predstavuje 6</w:t>
      </w:r>
      <w:r w:rsidR="00CC6C67">
        <w:rPr>
          <w:rFonts w:cstheme="minorHAnsi"/>
          <w:b/>
          <w:color w:val="000000" w:themeColor="text1"/>
          <w:szCs w:val="32"/>
        </w:rPr>
        <w:t>-</w:t>
      </w:r>
      <w:r w:rsidRPr="00F74155">
        <w:rPr>
          <w:rFonts w:cstheme="minorHAnsi"/>
          <w:b/>
          <w:color w:val="000000" w:themeColor="text1"/>
          <w:szCs w:val="32"/>
        </w:rPr>
        <w:t>násobok doposiaľ zazmluvnenej alokácie.</w:t>
      </w:r>
    </w:p>
    <w:p w14:paraId="13358146" w14:textId="77777777" w:rsidR="00C01619" w:rsidRDefault="00C01619" w:rsidP="00DE26B5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</w:p>
    <w:p w14:paraId="292CAB65" w14:textId="28A6D766" w:rsidR="000E27F9" w:rsidRPr="00217FFC" w:rsidRDefault="00766916" w:rsidP="005647AB">
      <w:pPr>
        <w:pStyle w:val="Nadpis4"/>
      </w:pPr>
      <w:bookmarkStart w:id="8" w:name="_Toc193446275"/>
      <w:r>
        <w:lastRenderedPageBreak/>
        <w:t>Dôvody</w:t>
      </w:r>
      <w:r w:rsidR="009D73A6">
        <w:t xml:space="preserve"> </w:t>
      </w:r>
      <w:r w:rsidR="000E27F9" w:rsidRPr="00564699">
        <w:t>nenaplnenia Investičného plánu</w:t>
      </w:r>
      <w:bookmarkEnd w:id="8"/>
    </w:p>
    <w:p w14:paraId="39ED820C" w14:textId="20AA44BF" w:rsidR="00986632" w:rsidRDefault="00DC3F75" w:rsidP="00986632">
      <w:pPr>
        <w:jc w:val="both"/>
      </w:pPr>
      <w:r>
        <w:t>A</w:t>
      </w:r>
      <w:bookmarkStart w:id="9" w:name="_GoBack"/>
      <w:bookmarkEnd w:id="9"/>
      <w:r w:rsidR="001D41B2">
        <w:t xml:space="preserve">j </w:t>
      </w:r>
      <w:r w:rsidR="00986632">
        <w:t xml:space="preserve"> napriek tomu, že SIPS vyhlásilo všetky plánované výzvy pre projekty IÚI, alebo UMR</w:t>
      </w:r>
      <w:r w:rsidR="001E3FDA">
        <w:t xml:space="preserve"> </w:t>
      </w:r>
      <w:r w:rsidR="00766916">
        <w:t>(časť výziev bola vyhlásená až v letných mesiacoch 2024</w:t>
      </w:r>
      <w:r w:rsidR="00664F11">
        <w:t>, resp. jedna</w:t>
      </w:r>
      <w:r w:rsidR="00E60AAB">
        <w:t xml:space="preserve"> menšia</w:t>
      </w:r>
      <w:r w:rsidR="00664F11">
        <w:t xml:space="preserve"> výzva bola vyhlásená v decembri</w:t>
      </w:r>
      <w:r w:rsidR="00766916">
        <w:t>)</w:t>
      </w:r>
      <w:r w:rsidR="00986632">
        <w:t>, majú</w:t>
      </w:r>
      <w:r w:rsidR="00B23659">
        <w:t xml:space="preserve"> výzvy</w:t>
      </w:r>
      <w:r w:rsidR="001D41B2">
        <w:t xml:space="preserve"> momentálne</w:t>
      </w:r>
      <w:r w:rsidR="00986632">
        <w:t xml:space="preserve"> problém s absorpčnou kapacitou</w:t>
      </w:r>
      <w:r w:rsidR="001D41B2">
        <w:t xml:space="preserve"> z pohľadu predložených projektov.</w:t>
      </w:r>
      <w:r w:rsidR="00986632">
        <w:t xml:space="preserve"> Projektové zámery </w:t>
      </w:r>
      <w:r w:rsidR="00766916">
        <w:t>boli</w:t>
      </w:r>
      <w:r w:rsidR="00986632">
        <w:t xml:space="preserve"> schválené v sume 674,43 mil. EUR (vrátane neoprávnených výdavkov)</w:t>
      </w:r>
      <w:r w:rsidR="001D41B2">
        <w:t xml:space="preserve">, </w:t>
      </w:r>
      <w:r w:rsidR="001D41B2" w:rsidRPr="001D41B2">
        <w:t>čo preukazuje existenciu reálneho dopytu a záujmu samospráv</w:t>
      </w:r>
      <w:r w:rsidR="00B23659">
        <w:t xml:space="preserve"> a územných partnerov</w:t>
      </w:r>
      <w:r w:rsidR="00986632">
        <w:t xml:space="preserve">. </w:t>
      </w:r>
      <w:r w:rsidR="00986632">
        <w:rPr>
          <w:b/>
          <w:bCs/>
        </w:rPr>
        <w:t>Neuspokojivé je</w:t>
      </w:r>
      <w:r w:rsidR="005647AB">
        <w:rPr>
          <w:b/>
          <w:bCs/>
        </w:rPr>
        <w:t xml:space="preserve"> </w:t>
      </w:r>
      <w:r w:rsidR="004C352D">
        <w:rPr>
          <w:b/>
          <w:bCs/>
        </w:rPr>
        <w:t xml:space="preserve">predovšetkým tempo </w:t>
      </w:r>
      <w:r w:rsidR="00986632">
        <w:rPr>
          <w:b/>
          <w:bCs/>
        </w:rPr>
        <w:t>predkladani</w:t>
      </w:r>
      <w:r w:rsidR="004C352D">
        <w:rPr>
          <w:b/>
          <w:bCs/>
        </w:rPr>
        <w:t>a</w:t>
      </w:r>
      <w:r w:rsidR="00986632">
        <w:rPr>
          <w:b/>
          <w:bCs/>
        </w:rPr>
        <w:t> ŽoNFP</w:t>
      </w:r>
      <w:r w:rsidR="004C352D">
        <w:t xml:space="preserve">, čo </w:t>
      </w:r>
      <w:r w:rsidR="00986632">
        <w:t xml:space="preserve">bude mať dopad na kontrahovanie/čerpanie, nakoľko medzi schválením projektového zámeru a predložením ŽoNFP môže uplynúť 3 - 6 mesiacov. </w:t>
      </w:r>
    </w:p>
    <w:p w14:paraId="712354BA" w14:textId="753B1FD0" w:rsidR="00DC3F75" w:rsidRDefault="00DC3F75" w:rsidP="00986632">
      <w:pPr>
        <w:jc w:val="both"/>
      </w:pPr>
      <w:r>
        <w:t>Medzi faktory</w:t>
      </w:r>
      <w:r>
        <w:t xml:space="preserve"> nenaplnenia Investičného plánu</w:t>
      </w:r>
      <w:r>
        <w:t xml:space="preserve"> patrí aj mierny</w:t>
      </w:r>
      <w:r>
        <w:t xml:space="preserve"> posun v rámci plánu harmonogramu výziev a presúvanie jednotlivých výziev do neskorších kvartálov.</w:t>
      </w:r>
    </w:p>
    <w:p w14:paraId="3E65A3F7" w14:textId="5EC37E1B" w:rsidR="00986632" w:rsidRDefault="00986632" w:rsidP="00986632">
      <w:pPr>
        <w:jc w:val="both"/>
      </w:pPr>
      <w:r>
        <w:rPr>
          <w:b/>
          <w:bCs/>
        </w:rPr>
        <w:t xml:space="preserve">Alokácia vyhlásených výziev pre územie predstavuje cca 889,90 mil. EUR (COV), pričom suma reálne predložených ŽoNFP je len cca 224,98 mil. EUR (COV), čo predstavuje cca 25 % z alokácie vyhlásených výziev.  </w:t>
      </w:r>
      <w:r>
        <w:t xml:space="preserve">Z vyhlásených výziev </w:t>
      </w:r>
      <w:r w:rsidR="00766916">
        <w:t>bolo</w:t>
      </w:r>
      <w:r>
        <w:t xml:space="preserve"> zakontrahovaných </w:t>
      </w:r>
      <w:r w:rsidR="00664F11">
        <w:t xml:space="preserve">len </w:t>
      </w:r>
      <w:r>
        <w:t>cca 3,53 %.</w:t>
      </w:r>
    </w:p>
    <w:p w14:paraId="6A1256FD" w14:textId="77777777" w:rsidR="00364647" w:rsidRDefault="00364647" w:rsidP="002336FE">
      <w:pPr>
        <w:pStyle w:val="Nadpis3"/>
        <w:rPr>
          <w:rFonts w:eastAsiaTheme="minorHAnsi"/>
        </w:rPr>
      </w:pPr>
      <w:bookmarkStart w:id="10" w:name="_Toc193446276"/>
      <w:r w:rsidRPr="00364647">
        <w:rPr>
          <w:rFonts w:eastAsiaTheme="minorHAnsi"/>
        </w:rPr>
        <w:t>Sekcia implementácie projektov informatizácie</w:t>
      </w:r>
      <w:bookmarkEnd w:id="10"/>
    </w:p>
    <w:p w14:paraId="5CA0183A" w14:textId="0AF86EA2" w:rsidR="00364647" w:rsidRPr="00E738D3" w:rsidRDefault="00364647" w:rsidP="00364647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5</w:t>
      </w:r>
      <w:r w:rsidRPr="00E738D3">
        <w:rPr>
          <w:color w:val="000000" w:themeColor="text1"/>
          <w:szCs w:val="32"/>
        </w:rPr>
        <w:t xml:space="preserve"> Prehľad plnenia Investičných plánov </w:t>
      </w:r>
      <w:r w:rsidRPr="00364647">
        <w:rPr>
          <w:color w:val="000000" w:themeColor="text1"/>
          <w:szCs w:val="32"/>
        </w:rPr>
        <w:t>S</w:t>
      </w:r>
      <w:r w:rsidR="000E3A99">
        <w:rPr>
          <w:color w:val="000000" w:themeColor="text1"/>
          <w:szCs w:val="32"/>
        </w:rPr>
        <w:t>IPI</w:t>
      </w:r>
    </w:p>
    <w:tbl>
      <w:tblPr>
        <w:tblStyle w:val="Tabukasozoznamom1svetl"/>
        <w:tblW w:w="9072" w:type="dxa"/>
        <w:tblLook w:val="04A0" w:firstRow="1" w:lastRow="0" w:firstColumn="1" w:lastColumn="0" w:noHBand="0" w:noVBand="1"/>
      </w:tblPr>
      <w:tblGrid>
        <w:gridCol w:w="1134"/>
        <w:gridCol w:w="1134"/>
        <w:gridCol w:w="1701"/>
        <w:gridCol w:w="1560"/>
        <w:gridCol w:w="1842"/>
        <w:gridCol w:w="1701"/>
      </w:tblGrid>
      <w:tr w:rsidR="00364647" w:rsidRPr="00364647" w14:paraId="584280D9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vAlign w:val="center"/>
            <w:hideMark/>
          </w:tcPr>
          <w:p w14:paraId="04CE4DA1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134" w:type="dxa"/>
            <w:vAlign w:val="center"/>
            <w:hideMark/>
          </w:tcPr>
          <w:p w14:paraId="7984C3D2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701" w:type="dxa"/>
            <w:vAlign w:val="center"/>
            <w:hideMark/>
          </w:tcPr>
          <w:p w14:paraId="7559412D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0" w:type="dxa"/>
            <w:vAlign w:val="center"/>
            <w:hideMark/>
          </w:tcPr>
          <w:p w14:paraId="7C265F25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842" w:type="dxa"/>
            <w:vAlign w:val="center"/>
            <w:hideMark/>
          </w:tcPr>
          <w:p w14:paraId="671CFBC2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701" w:type="dxa"/>
            <w:vAlign w:val="center"/>
            <w:hideMark/>
          </w:tcPr>
          <w:p w14:paraId="5DF34247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364647" w:rsidRPr="00364647" w14:paraId="6DD7113C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vAlign w:val="center"/>
            <w:hideMark/>
          </w:tcPr>
          <w:p w14:paraId="0A55E39F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4" w:type="dxa"/>
            <w:vAlign w:val="center"/>
            <w:hideMark/>
          </w:tcPr>
          <w:p w14:paraId="1C09F5A0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701" w:type="dxa"/>
            <w:vAlign w:val="center"/>
            <w:hideMark/>
          </w:tcPr>
          <w:p w14:paraId="4520AAB4" w14:textId="77777777" w:rsidR="00364647" w:rsidRPr="00364647" w:rsidRDefault="00364647" w:rsidP="00BB02D6">
            <w:pPr>
              <w:pStyle w:val="paragraph"/>
              <w:spacing w:before="120" w:after="120"/>
              <w:ind w:left="-243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37 800 000</w:t>
            </w:r>
          </w:p>
        </w:tc>
        <w:tc>
          <w:tcPr>
            <w:tcW w:w="1560" w:type="dxa"/>
            <w:vAlign w:val="center"/>
            <w:hideMark/>
          </w:tcPr>
          <w:p w14:paraId="1141A258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2 774 266</w:t>
            </w:r>
          </w:p>
        </w:tc>
        <w:tc>
          <w:tcPr>
            <w:tcW w:w="1842" w:type="dxa"/>
            <w:vAlign w:val="center"/>
            <w:hideMark/>
          </w:tcPr>
          <w:p w14:paraId="1DFDD37A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2 913 919</w:t>
            </w:r>
          </w:p>
        </w:tc>
        <w:tc>
          <w:tcPr>
            <w:tcW w:w="1701" w:type="dxa"/>
            <w:vAlign w:val="center"/>
            <w:hideMark/>
          </w:tcPr>
          <w:p w14:paraId="2DA6AA11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105,03%</w:t>
            </w:r>
          </w:p>
        </w:tc>
      </w:tr>
      <w:tr w:rsidR="00364647" w:rsidRPr="00364647" w14:paraId="5CBFB64A" w14:textId="77777777" w:rsidTr="00DF6966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vAlign w:val="center"/>
            <w:hideMark/>
          </w:tcPr>
          <w:p w14:paraId="6EBD1A70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4" w:type="dxa"/>
            <w:vAlign w:val="center"/>
            <w:hideMark/>
          </w:tcPr>
          <w:p w14:paraId="67AC2D67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701" w:type="dxa"/>
            <w:vAlign w:val="center"/>
            <w:hideMark/>
          </w:tcPr>
          <w:p w14:paraId="5356A5DA" w14:textId="77777777" w:rsidR="00364647" w:rsidRPr="00364647" w:rsidRDefault="00364647" w:rsidP="00BB02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548 583 085</w:t>
            </w:r>
          </w:p>
        </w:tc>
        <w:tc>
          <w:tcPr>
            <w:tcW w:w="1560" w:type="dxa"/>
            <w:vAlign w:val="center"/>
            <w:hideMark/>
          </w:tcPr>
          <w:p w14:paraId="3E258971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45 444 329</w:t>
            </w:r>
          </w:p>
        </w:tc>
        <w:tc>
          <w:tcPr>
            <w:tcW w:w="1842" w:type="dxa"/>
            <w:vAlign w:val="center"/>
            <w:hideMark/>
          </w:tcPr>
          <w:p w14:paraId="41168772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44 031 852</w:t>
            </w:r>
          </w:p>
        </w:tc>
        <w:tc>
          <w:tcPr>
            <w:tcW w:w="1701" w:type="dxa"/>
            <w:vAlign w:val="center"/>
            <w:hideMark/>
          </w:tcPr>
          <w:p w14:paraId="185700A0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96,89%</w:t>
            </w:r>
          </w:p>
        </w:tc>
      </w:tr>
      <w:tr w:rsidR="00364647" w:rsidRPr="00364647" w14:paraId="26012E34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gridSpan w:val="2"/>
            <w:vAlign w:val="center"/>
            <w:hideMark/>
          </w:tcPr>
          <w:p w14:paraId="41C12F9E" w14:textId="77777777" w:rsidR="00364647" w:rsidRPr="00364647" w:rsidRDefault="00364647" w:rsidP="00364647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701" w:type="dxa"/>
            <w:vAlign w:val="center"/>
            <w:hideMark/>
          </w:tcPr>
          <w:p w14:paraId="2B4C881B" w14:textId="77777777" w:rsidR="00364647" w:rsidRPr="00364647" w:rsidRDefault="00364647" w:rsidP="00BB02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586 383 085</w:t>
            </w:r>
          </w:p>
        </w:tc>
        <w:tc>
          <w:tcPr>
            <w:tcW w:w="1560" w:type="dxa"/>
            <w:vAlign w:val="center"/>
            <w:hideMark/>
          </w:tcPr>
          <w:p w14:paraId="320E4721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48 218 595</w:t>
            </w:r>
          </w:p>
        </w:tc>
        <w:tc>
          <w:tcPr>
            <w:tcW w:w="1842" w:type="dxa"/>
            <w:vAlign w:val="center"/>
            <w:hideMark/>
          </w:tcPr>
          <w:p w14:paraId="68CB963A" w14:textId="77777777" w:rsidR="00364647" w:rsidRPr="00364647" w:rsidRDefault="00364647" w:rsidP="00364647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46 945 771</w:t>
            </w:r>
          </w:p>
        </w:tc>
        <w:tc>
          <w:tcPr>
            <w:tcW w:w="1701" w:type="dxa"/>
            <w:vAlign w:val="center"/>
            <w:hideMark/>
          </w:tcPr>
          <w:p w14:paraId="654F15B8" w14:textId="77777777" w:rsidR="00364647" w:rsidRPr="00364647" w:rsidRDefault="00364647" w:rsidP="00BB02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364647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97,36%</w:t>
            </w:r>
          </w:p>
        </w:tc>
      </w:tr>
      <w:tr w:rsidR="008E16DE" w:rsidRPr="008E16DE" w14:paraId="7627313D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gridSpan w:val="2"/>
            <w:vAlign w:val="center"/>
          </w:tcPr>
          <w:p w14:paraId="16564C1F" w14:textId="77777777" w:rsidR="008E16DE" w:rsidRPr="008E16DE" w:rsidRDefault="008E16DE" w:rsidP="008E16DE">
            <w:pPr>
              <w:pStyle w:val="paragraph"/>
              <w:spacing w:before="120" w:after="120"/>
              <w:jc w:val="both"/>
              <w:textAlignment w:val="baseline"/>
              <w:rPr>
                <w:rFonts w:asciiTheme="minorHAnsi" w:eastAsiaTheme="minorHAnsi" w:hAnsiTheme="minorHAnsi" w:cstheme="minorHAnsi"/>
                <w:b w:val="0"/>
                <w:bCs w:val="0"/>
                <w:color w:val="000000" w:themeColor="text1"/>
                <w:sz w:val="22"/>
                <w:szCs w:val="32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7B302D4" w14:textId="77777777" w:rsidR="008E16DE" w:rsidRPr="008E16DE" w:rsidRDefault="008E16DE" w:rsidP="00BB02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color w:val="000000" w:themeColor="text1"/>
                <w:sz w:val="22"/>
                <w:szCs w:val="32"/>
                <w:lang w:eastAsia="en-US"/>
              </w:rPr>
            </w:pPr>
          </w:p>
        </w:tc>
        <w:tc>
          <w:tcPr>
            <w:tcW w:w="1560" w:type="dxa"/>
            <w:vAlign w:val="center"/>
          </w:tcPr>
          <w:p w14:paraId="79803004" w14:textId="77777777" w:rsidR="008E16DE" w:rsidRPr="008E16DE" w:rsidRDefault="008E16DE" w:rsidP="00364647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color w:val="000000" w:themeColor="text1"/>
                <w:sz w:val="22"/>
                <w:szCs w:val="32"/>
                <w:lang w:eastAsia="en-US"/>
              </w:rPr>
            </w:pPr>
          </w:p>
        </w:tc>
        <w:tc>
          <w:tcPr>
            <w:tcW w:w="1842" w:type="dxa"/>
            <w:vAlign w:val="center"/>
          </w:tcPr>
          <w:p w14:paraId="45BF01B7" w14:textId="77777777" w:rsidR="008E16DE" w:rsidRPr="008E16DE" w:rsidRDefault="008E16DE" w:rsidP="00364647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color w:val="000000" w:themeColor="text1"/>
                <w:sz w:val="22"/>
                <w:szCs w:val="32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BB1917C" w14:textId="77777777" w:rsidR="008E16DE" w:rsidRPr="008E16DE" w:rsidRDefault="008E16DE" w:rsidP="00BB02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color w:val="000000" w:themeColor="text1"/>
                <w:sz w:val="22"/>
                <w:szCs w:val="32"/>
                <w:lang w:eastAsia="en-US"/>
              </w:rPr>
            </w:pPr>
          </w:p>
        </w:tc>
      </w:tr>
    </w:tbl>
    <w:p w14:paraId="4219C7FB" w14:textId="63A4A3A2" w:rsidR="000762C6" w:rsidRPr="000762C6" w:rsidRDefault="00F74155" w:rsidP="000762C6">
      <w:pPr>
        <w:jc w:val="both"/>
      </w:pPr>
      <w:r w:rsidRPr="000762C6">
        <w:t xml:space="preserve">K 31. 12. 2024 je kontrahovanie 46,95 mil. EUR, pričom plán bol zakontrahovať </w:t>
      </w:r>
      <w:r w:rsidR="0017525C" w:rsidRPr="000762C6">
        <w:t>48,22</w:t>
      </w:r>
      <w:r w:rsidRPr="000762C6">
        <w:t xml:space="preserve"> mil. EUR. </w:t>
      </w:r>
      <w:r w:rsidRPr="000762C6">
        <w:rPr>
          <w:b/>
        </w:rPr>
        <w:t xml:space="preserve">Plnenie plánu je na úrovni </w:t>
      </w:r>
      <w:r w:rsidR="0017525C" w:rsidRPr="000762C6">
        <w:rPr>
          <w:b/>
        </w:rPr>
        <w:t>97,36</w:t>
      </w:r>
      <w:r w:rsidRPr="000762C6">
        <w:rPr>
          <w:b/>
        </w:rPr>
        <w:t xml:space="preserve"> %</w:t>
      </w:r>
      <w:r w:rsidR="009F620B" w:rsidRPr="000762C6">
        <w:t xml:space="preserve">, uvedená hodnota sa môže považovať za splnenie plánu. </w:t>
      </w:r>
      <w:r w:rsidRPr="000762C6">
        <w:t xml:space="preserve"> </w:t>
      </w:r>
      <w:r w:rsidR="000762C6" w:rsidRPr="000762C6">
        <w:t>Je však potrebné povedať, že SIPI si znížila plán kontrahovania o 192,28 mil. EUR, z pôvodných 240,50 mil. EUR na</w:t>
      </w:r>
      <w:r w:rsidR="000762C6" w:rsidRPr="000762C6">
        <w:br/>
        <w:t>48,22 mil. EUR. Ak by si SIPI neznížila plán, tak plnenie by bolo len na úrovni 19,52 %.</w:t>
      </w:r>
    </w:p>
    <w:p w14:paraId="7ECB48B0" w14:textId="1D766548" w:rsidR="00F74155" w:rsidRDefault="000762C6" w:rsidP="0040195E">
      <w:pPr>
        <w:jc w:val="both"/>
        <w:rPr>
          <w:rFonts w:cstheme="minorHAnsi"/>
          <w:color w:val="000000" w:themeColor="text1"/>
          <w:szCs w:val="32"/>
        </w:rPr>
      </w:pPr>
      <w:r w:rsidRPr="009B7A2C">
        <w:rPr>
          <w:b/>
        </w:rPr>
        <w:t>Kontrahovanie v rámci SIPI je veľmi nízke, pričom z pridelenej alokácie mu zostáva zakontrahovať 539,44 mil</w:t>
      </w:r>
      <w:r w:rsidRPr="009B7A2C">
        <w:rPr>
          <w:rFonts w:cstheme="minorHAnsi"/>
          <w:b/>
          <w:color w:val="000000" w:themeColor="text1"/>
          <w:szCs w:val="32"/>
        </w:rPr>
        <w:t>. EUR, čo predstavuje viac ako 11- násobok doposiaľ zazmluvnenej alokácie.</w:t>
      </w:r>
    </w:p>
    <w:p w14:paraId="57B0963A" w14:textId="77777777" w:rsidR="00364647" w:rsidRDefault="00364647" w:rsidP="002336FE">
      <w:pPr>
        <w:pStyle w:val="Nadpis3"/>
        <w:rPr>
          <w:rFonts w:eastAsiaTheme="minorHAnsi"/>
        </w:rPr>
      </w:pPr>
      <w:bookmarkStart w:id="11" w:name="_Toc193446277"/>
      <w:r w:rsidRPr="00364647">
        <w:rPr>
          <w:rFonts w:eastAsiaTheme="minorHAnsi"/>
        </w:rPr>
        <w:t>Sekcia programovania a podpory Programu Slovensko</w:t>
      </w:r>
      <w:bookmarkEnd w:id="11"/>
    </w:p>
    <w:p w14:paraId="2C800683" w14:textId="11EB5187" w:rsidR="00F533BC" w:rsidRDefault="00F533BC" w:rsidP="00F533BC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6</w:t>
      </w:r>
      <w:r w:rsidRPr="00E738D3">
        <w:rPr>
          <w:color w:val="000000" w:themeColor="text1"/>
          <w:szCs w:val="32"/>
        </w:rPr>
        <w:t xml:space="preserve"> Prehľad plnenia Investičných plánov </w:t>
      </w:r>
      <w:r w:rsidR="005647AB">
        <w:rPr>
          <w:color w:val="000000" w:themeColor="text1"/>
          <w:szCs w:val="32"/>
        </w:rPr>
        <w:t>S</w:t>
      </w:r>
      <w:r w:rsidR="000E3A99">
        <w:rPr>
          <w:color w:val="000000" w:themeColor="text1"/>
          <w:szCs w:val="32"/>
        </w:rPr>
        <w:t>PPPS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060"/>
        <w:gridCol w:w="1173"/>
        <w:gridCol w:w="1595"/>
        <w:gridCol w:w="1842"/>
        <w:gridCol w:w="1701"/>
        <w:gridCol w:w="1701"/>
      </w:tblGrid>
      <w:tr w:rsidR="00F533BC" w:rsidRPr="00F533BC" w14:paraId="66BB31FA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0" w:type="dxa"/>
            <w:vAlign w:val="center"/>
            <w:hideMark/>
          </w:tcPr>
          <w:p w14:paraId="4686A874" w14:textId="77777777" w:rsidR="00F533BC" w:rsidRPr="00F533BC" w:rsidRDefault="00F533BC" w:rsidP="00417B26">
            <w:pPr>
              <w:jc w:val="center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Fond</w:t>
            </w:r>
          </w:p>
        </w:tc>
        <w:tc>
          <w:tcPr>
            <w:tcW w:w="1173" w:type="dxa"/>
            <w:vAlign w:val="center"/>
            <w:hideMark/>
          </w:tcPr>
          <w:p w14:paraId="36F95451" w14:textId="77777777" w:rsidR="00F533BC" w:rsidRPr="00F533BC" w:rsidRDefault="00F533BC" w:rsidP="00417B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Kategória regiónov</w:t>
            </w:r>
          </w:p>
        </w:tc>
        <w:tc>
          <w:tcPr>
            <w:tcW w:w="1595" w:type="dxa"/>
            <w:vAlign w:val="center"/>
            <w:hideMark/>
          </w:tcPr>
          <w:p w14:paraId="162469AA" w14:textId="77777777" w:rsidR="00F533BC" w:rsidRPr="00F533BC" w:rsidRDefault="00F533BC" w:rsidP="00417B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Alokácia</w:t>
            </w:r>
          </w:p>
        </w:tc>
        <w:tc>
          <w:tcPr>
            <w:tcW w:w="1842" w:type="dxa"/>
            <w:vAlign w:val="center"/>
            <w:hideMark/>
          </w:tcPr>
          <w:p w14:paraId="0DF6681E" w14:textId="77777777" w:rsidR="00F533BC" w:rsidRPr="00F533BC" w:rsidRDefault="00F533BC" w:rsidP="00417B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Plán kontrahovania</w:t>
            </w:r>
          </w:p>
        </w:tc>
        <w:tc>
          <w:tcPr>
            <w:tcW w:w="1701" w:type="dxa"/>
            <w:vAlign w:val="center"/>
            <w:hideMark/>
          </w:tcPr>
          <w:p w14:paraId="4104F3B5" w14:textId="77777777" w:rsidR="00F533BC" w:rsidRPr="00F533BC" w:rsidRDefault="00F533BC" w:rsidP="00417B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 xml:space="preserve">Kontrahovanie (brutto) </w:t>
            </w:r>
            <w:r w:rsidRPr="00F533BC">
              <w:rPr>
                <w:color w:val="000000" w:themeColor="text1"/>
                <w:szCs w:val="32"/>
              </w:rPr>
              <w:br/>
              <w:t>k 31.12.2024</w:t>
            </w:r>
          </w:p>
        </w:tc>
        <w:tc>
          <w:tcPr>
            <w:tcW w:w="1701" w:type="dxa"/>
            <w:vAlign w:val="center"/>
            <w:hideMark/>
          </w:tcPr>
          <w:p w14:paraId="7606320E" w14:textId="77777777" w:rsidR="00F533BC" w:rsidRPr="00F533BC" w:rsidRDefault="00F533BC" w:rsidP="00417B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% plnenia plánu kontrahovania k 31.12.2024</w:t>
            </w:r>
          </w:p>
        </w:tc>
      </w:tr>
      <w:tr w:rsidR="00F533BC" w:rsidRPr="00F533BC" w14:paraId="54EB7F3D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0" w:type="dxa"/>
            <w:vAlign w:val="center"/>
            <w:hideMark/>
          </w:tcPr>
          <w:p w14:paraId="36793D6E" w14:textId="77777777" w:rsidR="00F533BC" w:rsidRPr="00574B33" w:rsidRDefault="00F533BC" w:rsidP="00BB02D6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574B33">
              <w:rPr>
                <w:b w:val="0"/>
                <w:color w:val="000000" w:themeColor="text1"/>
                <w:szCs w:val="32"/>
              </w:rPr>
              <w:t>TP EFRR</w:t>
            </w:r>
          </w:p>
        </w:tc>
        <w:tc>
          <w:tcPr>
            <w:tcW w:w="1173" w:type="dxa"/>
            <w:vAlign w:val="center"/>
            <w:hideMark/>
          </w:tcPr>
          <w:p w14:paraId="6436773B" w14:textId="77777777" w:rsidR="00F533BC" w:rsidRPr="00F533BC" w:rsidRDefault="00F533BC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MR</w:t>
            </w:r>
          </w:p>
        </w:tc>
        <w:tc>
          <w:tcPr>
            <w:tcW w:w="1595" w:type="dxa"/>
            <w:vAlign w:val="center"/>
            <w:hideMark/>
          </w:tcPr>
          <w:p w14:paraId="1888FD36" w14:textId="77777777" w:rsidR="00F533BC" w:rsidRPr="00F533BC" w:rsidRDefault="00F533BC" w:rsidP="00BB02D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255 696 315</w:t>
            </w:r>
          </w:p>
        </w:tc>
        <w:tc>
          <w:tcPr>
            <w:tcW w:w="1842" w:type="dxa"/>
            <w:vAlign w:val="center"/>
            <w:hideMark/>
          </w:tcPr>
          <w:p w14:paraId="5A66ADDF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28 028 845</w:t>
            </w:r>
          </w:p>
        </w:tc>
        <w:tc>
          <w:tcPr>
            <w:tcW w:w="1701" w:type="dxa"/>
            <w:vAlign w:val="center"/>
            <w:hideMark/>
          </w:tcPr>
          <w:p w14:paraId="30293920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33 610 930</w:t>
            </w:r>
          </w:p>
        </w:tc>
        <w:tc>
          <w:tcPr>
            <w:tcW w:w="1701" w:type="dxa"/>
            <w:vAlign w:val="center"/>
            <w:hideMark/>
          </w:tcPr>
          <w:p w14:paraId="388156CB" w14:textId="77777777" w:rsidR="00F533BC" w:rsidRPr="00F533BC" w:rsidRDefault="00F533BC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119,92%</w:t>
            </w:r>
          </w:p>
        </w:tc>
      </w:tr>
      <w:tr w:rsidR="00F533BC" w:rsidRPr="00F533BC" w14:paraId="0CC1119C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0" w:type="dxa"/>
            <w:vAlign w:val="center"/>
            <w:hideMark/>
          </w:tcPr>
          <w:p w14:paraId="697D2AAA" w14:textId="77777777" w:rsidR="00F533BC" w:rsidRPr="00574B33" w:rsidRDefault="00F533BC" w:rsidP="00BB02D6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574B33">
              <w:rPr>
                <w:b w:val="0"/>
                <w:color w:val="000000" w:themeColor="text1"/>
                <w:szCs w:val="32"/>
              </w:rPr>
              <w:t>TP KF</w:t>
            </w:r>
          </w:p>
        </w:tc>
        <w:tc>
          <w:tcPr>
            <w:tcW w:w="1173" w:type="dxa"/>
            <w:vAlign w:val="center"/>
            <w:hideMark/>
          </w:tcPr>
          <w:p w14:paraId="01DA9DFE" w14:textId="77777777" w:rsidR="00F533BC" w:rsidRPr="00F533BC" w:rsidRDefault="00F533BC" w:rsidP="00BB02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</w:p>
        </w:tc>
        <w:tc>
          <w:tcPr>
            <w:tcW w:w="1595" w:type="dxa"/>
            <w:vAlign w:val="center"/>
            <w:hideMark/>
          </w:tcPr>
          <w:p w14:paraId="3AEBD1C5" w14:textId="77777777" w:rsidR="00F533BC" w:rsidRPr="00F533BC" w:rsidRDefault="00F533BC" w:rsidP="00BB02D6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51 632 244</w:t>
            </w:r>
          </w:p>
        </w:tc>
        <w:tc>
          <w:tcPr>
            <w:tcW w:w="1842" w:type="dxa"/>
            <w:vAlign w:val="center"/>
            <w:hideMark/>
          </w:tcPr>
          <w:p w14:paraId="03DB4AC3" w14:textId="77777777" w:rsidR="00F533BC" w:rsidRPr="00F533BC" w:rsidRDefault="00F533BC" w:rsidP="00574B3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16 129 807</w:t>
            </w:r>
          </w:p>
        </w:tc>
        <w:tc>
          <w:tcPr>
            <w:tcW w:w="1701" w:type="dxa"/>
            <w:vAlign w:val="center"/>
            <w:hideMark/>
          </w:tcPr>
          <w:p w14:paraId="0ECFDD4E" w14:textId="77777777" w:rsidR="00F533BC" w:rsidRPr="00F533BC" w:rsidRDefault="00F533BC" w:rsidP="00574B3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9 281 749</w:t>
            </w:r>
          </w:p>
        </w:tc>
        <w:tc>
          <w:tcPr>
            <w:tcW w:w="1701" w:type="dxa"/>
            <w:vAlign w:val="center"/>
            <w:hideMark/>
          </w:tcPr>
          <w:p w14:paraId="5769B13B" w14:textId="77777777" w:rsidR="00F533BC" w:rsidRPr="00F533BC" w:rsidRDefault="00F533BC" w:rsidP="00BB02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57,54%</w:t>
            </w:r>
          </w:p>
        </w:tc>
      </w:tr>
      <w:tr w:rsidR="00F533BC" w:rsidRPr="00F533BC" w14:paraId="7308E961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0" w:type="dxa"/>
            <w:vAlign w:val="center"/>
            <w:hideMark/>
          </w:tcPr>
          <w:p w14:paraId="65CD33BC" w14:textId="77777777" w:rsidR="00F533BC" w:rsidRPr="00574B33" w:rsidRDefault="00F533BC" w:rsidP="00BB02D6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574B33">
              <w:rPr>
                <w:b w:val="0"/>
                <w:color w:val="000000" w:themeColor="text1"/>
                <w:szCs w:val="32"/>
              </w:rPr>
              <w:t>TP ESF+</w:t>
            </w:r>
          </w:p>
        </w:tc>
        <w:tc>
          <w:tcPr>
            <w:tcW w:w="1173" w:type="dxa"/>
            <w:vAlign w:val="center"/>
            <w:hideMark/>
          </w:tcPr>
          <w:p w14:paraId="0C4697A1" w14:textId="77777777" w:rsidR="00F533BC" w:rsidRPr="00F533BC" w:rsidRDefault="00F533BC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MR</w:t>
            </w:r>
          </w:p>
        </w:tc>
        <w:tc>
          <w:tcPr>
            <w:tcW w:w="1595" w:type="dxa"/>
            <w:vAlign w:val="center"/>
            <w:hideMark/>
          </w:tcPr>
          <w:p w14:paraId="0B33B749" w14:textId="77777777" w:rsidR="00F533BC" w:rsidRPr="00F533BC" w:rsidRDefault="00F533BC" w:rsidP="00BB02D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84 543 983</w:t>
            </w:r>
          </w:p>
        </w:tc>
        <w:tc>
          <w:tcPr>
            <w:tcW w:w="1842" w:type="dxa"/>
            <w:vAlign w:val="center"/>
            <w:hideMark/>
          </w:tcPr>
          <w:p w14:paraId="5A0B1D0C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9 281 749</w:t>
            </w:r>
          </w:p>
        </w:tc>
        <w:tc>
          <w:tcPr>
            <w:tcW w:w="1701" w:type="dxa"/>
            <w:vAlign w:val="center"/>
            <w:hideMark/>
          </w:tcPr>
          <w:p w14:paraId="776631AB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16 129 807</w:t>
            </w:r>
          </w:p>
        </w:tc>
        <w:tc>
          <w:tcPr>
            <w:tcW w:w="1701" w:type="dxa"/>
            <w:vAlign w:val="center"/>
            <w:hideMark/>
          </w:tcPr>
          <w:p w14:paraId="268C64EF" w14:textId="77777777" w:rsidR="00F533BC" w:rsidRPr="00F533BC" w:rsidRDefault="00F533BC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173,78%</w:t>
            </w:r>
          </w:p>
        </w:tc>
      </w:tr>
      <w:tr w:rsidR="00F533BC" w:rsidRPr="00F533BC" w14:paraId="6AAC3713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0" w:type="dxa"/>
            <w:vAlign w:val="center"/>
            <w:hideMark/>
          </w:tcPr>
          <w:p w14:paraId="37EE3629" w14:textId="77777777" w:rsidR="00F533BC" w:rsidRPr="00574B33" w:rsidRDefault="00F533BC" w:rsidP="00BB02D6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574B33">
              <w:rPr>
                <w:b w:val="0"/>
                <w:color w:val="000000" w:themeColor="text1"/>
                <w:szCs w:val="32"/>
              </w:rPr>
              <w:t>TP FST</w:t>
            </w:r>
          </w:p>
        </w:tc>
        <w:tc>
          <w:tcPr>
            <w:tcW w:w="1173" w:type="dxa"/>
            <w:vAlign w:val="center"/>
            <w:hideMark/>
          </w:tcPr>
          <w:p w14:paraId="48A0898D" w14:textId="77777777" w:rsidR="00F533BC" w:rsidRPr="00F533BC" w:rsidRDefault="00F533BC" w:rsidP="00BB02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MR</w:t>
            </w:r>
          </w:p>
        </w:tc>
        <w:tc>
          <w:tcPr>
            <w:tcW w:w="1595" w:type="dxa"/>
            <w:vAlign w:val="center"/>
            <w:hideMark/>
          </w:tcPr>
          <w:p w14:paraId="51C9CB13" w14:textId="77777777" w:rsidR="00F533BC" w:rsidRPr="00F533BC" w:rsidRDefault="00F533BC" w:rsidP="00BB02D6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18 360 759</w:t>
            </w:r>
          </w:p>
        </w:tc>
        <w:tc>
          <w:tcPr>
            <w:tcW w:w="1842" w:type="dxa"/>
            <w:vAlign w:val="center"/>
            <w:hideMark/>
          </w:tcPr>
          <w:p w14:paraId="45808479" w14:textId="77777777" w:rsidR="00F533BC" w:rsidRPr="00F533BC" w:rsidRDefault="00F533BC" w:rsidP="00574B3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3 728 481</w:t>
            </w:r>
          </w:p>
        </w:tc>
        <w:tc>
          <w:tcPr>
            <w:tcW w:w="1701" w:type="dxa"/>
            <w:vAlign w:val="center"/>
            <w:hideMark/>
          </w:tcPr>
          <w:p w14:paraId="6E66F75C" w14:textId="77777777" w:rsidR="00F533BC" w:rsidRPr="00F533BC" w:rsidRDefault="00F533BC" w:rsidP="00574B3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3 999 747</w:t>
            </w:r>
          </w:p>
        </w:tc>
        <w:tc>
          <w:tcPr>
            <w:tcW w:w="1701" w:type="dxa"/>
            <w:vAlign w:val="center"/>
            <w:hideMark/>
          </w:tcPr>
          <w:p w14:paraId="7F2C89B7" w14:textId="77777777" w:rsidR="00F533BC" w:rsidRPr="00F533BC" w:rsidRDefault="00F533BC" w:rsidP="00BB02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107,28%</w:t>
            </w:r>
          </w:p>
        </w:tc>
      </w:tr>
      <w:tr w:rsidR="00F533BC" w:rsidRPr="00F533BC" w14:paraId="2FC7C083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3" w:type="dxa"/>
            <w:gridSpan w:val="2"/>
            <w:vAlign w:val="center"/>
            <w:hideMark/>
          </w:tcPr>
          <w:p w14:paraId="6BC9CF02" w14:textId="77777777" w:rsidR="00F533BC" w:rsidRPr="00F533BC" w:rsidRDefault="00F533BC" w:rsidP="00F533BC">
            <w:pPr>
              <w:rPr>
                <w:color w:val="000000" w:themeColor="text1"/>
                <w:szCs w:val="32"/>
              </w:rPr>
            </w:pPr>
            <w:r w:rsidRPr="00F533BC">
              <w:rPr>
                <w:color w:val="000000" w:themeColor="text1"/>
                <w:szCs w:val="32"/>
              </w:rPr>
              <w:t>Spolu</w:t>
            </w:r>
          </w:p>
        </w:tc>
        <w:tc>
          <w:tcPr>
            <w:tcW w:w="1595" w:type="dxa"/>
            <w:noWrap/>
            <w:vAlign w:val="center"/>
            <w:hideMark/>
          </w:tcPr>
          <w:p w14:paraId="38176A47" w14:textId="77777777" w:rsidR="00F533BC" w:rsidRPr="00F533BC" w:rsidRDefault="00F533BC" w:rsidP="00BB02D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F533BC">
              <w:rPr>
                <w:b/>
                <w:bCs/>
                <w:color w:val="000000" w:themeColor="text1"/>
                <w:szCs w:val="32"/>
              </w:rPr>
              <w:t>410 233 301</w:t>
            </w:r>
          </w:p>
        </w:tc>
        <w:tc>
          <w:tcPr>
            <w:tcW w:w="1842" w:type="dxa"/>
            <w:noWrap/>
            <w:vAlign w:val="center"/>
            <w:hideMark/>
          </w:tcPr>
          <w:p w14:paraId="7554E4A8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F533BC">
              <w:rPr>
                <w:b/>
                <w:bCs/>
                <w:color w:val="000000" w:themeColor="text1"/>
                <w:szCs w:val="32"/>
              </w:rPr>
              <w:t>57 168 882</w:t>
            </w:r>
          </w:p>
        </w:tc>
        <w:tc>
          <w:tcPr>
            <w:tcW w:w="1701" w:type="dxa"/>
            <w:noWrap/>
            <w:vAlign w:val="center"/>
            <w:hideMark/>
          </w:tcPr>
          <w:p w14:paraId="54D4EA14" w14:textId="77777777" w:rsidR="00F533BC" w:rsidRPr="00F533BC" w:rsidRDefault="00F533BC" w:rsidP="00574B3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F533BC">
              <w:rPr>
                <w:b/>
                <w:bCs/>
                <w:color w:val="000000" w:themeColor="text1"/>
                <w:szCs w:val="32"/>
              </w:rPr>
              <w:t>63 022 233</w:t>
            </w:r>
          </w:p>
        </w:tc>
        <w:tc>
          <w:tcPr>
            <w:tcW w:w="1701" w:type="dxa"/>
            <w:vAlign w:val="center"/>
            <w:hideMark/>
          </w:tcPr>
          <w:p w14:paraId="0724F496" w14:textId="77777777" w:rsidR="00F533BC" w:rsidRPr="00F533BC" w:rsidRDefault="00F533BC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F533BC">
              <w:rPr>
                <w:b/>
                <w:bCs/>
                <w:color w:val="000000" w:themeColor="text1"/>
                <w:szCs w:val="32"/>
              </w:rPr>
              <w:t>110,24%</w:t>
            </w:r>
          </w:p>
        </w:tc>
      </w:tr>
    </w:tbl>
    <w:p w14:paraId="1D3126E7" w14:textId="77777777" w:rsidR="002324F7" w:rsidRDefault="002324F7" w:rsidP="00995684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01AE2012" w14:textId="77777777" w:rsidR="00995684" w:rsidRDefault="00995684" w:rsidP="00995684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lastRenderedPageBreak/>
        <w:t xml:space="preserve">K 31. 12. 2024 je kontrahovanie 63,02 mil. EUR, pričom plán bol zakontrahovať 57,17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110,24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</w:t>
      </w:r>
    </w:p>
    <w:p w14:paraId="7A8D7D31" w14:textId="77777777" w:rsidR="00574B33" w:rsidRPr="00574B33" w:rsidRDefault="00574B33" w:rsidP="002336FE">
      <w:pPr>
        <w:pStyle w:val="Nadpis3"/>
        <w:rPr>
          <w:rFonts w:eastAsiaTheme="minorHAnsi"/>
        </w:rPr>
      </w:pPr>
      <w:bookmarkStart w:id="12" w:name="_Toc193446278"/>
      <w:r w:rsidRPr="00574B33">
        <w:rPr>
          <w:rFonts w:eastAsiaTheme="minorHAnsi"/>
        </w:rPr>
        <w:t>Sekcia regionálneho rozvoja</w:t>
      </w:r>
      <w:bookmarkEnd w:id="12"/>
    </w:p>
    <w:p w14:paraId="2108A967" w14:textId="554D987E" w:rsidR="00574B33" w:rsidRDefault="00574B33" w:rsidP="00F533BC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7</w:t>
      </w:r>
      <w:r w:rsidRPr="00E738D3">
        <w:rPr>
          <w:color w:val="000000" w:themeColor="text1"/>
          <w:szCs w:val="32"/>
        </w:rPr>
        <w:t xml:space="preserve"> Prehľad plnenia Investičných plánov </w:t>
      </w:r>
      <w:r w:rsidR="00CC6C67">
        <w:rPr>
          <w:color w:val="000000" w:themeColor="text1"/>
          <w:szCs w:val="32"/>
        </w:rPr>
        <w:t>SRR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103"/>
        <w:gridCol w:w="1330"/>
        <w:gridCol w:w="1395"/>
        <w:gridCol w:w="1842"/>
        <w:gridCol w:w="1701"/>
        <w:gridCol w:w="1701"/>
      </w:tblGrid>
      <w:tr w:rsidR="00574B33" w:rsidRPr="00574B33" w14:paraId="106D8AB7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dxa"/>
            <w:vAlign w:val="center"/>
            <w:hideMark/>
          </w:tcPr>
          <w:p w14:paraId="64579DC5" w14:textId="77777777" w:rsidR="00574B33" w:rsidRPr="00574B33" w:rsidRDefault="00574B33" w:rsidP="00BB02D6">
            <w:pPr>
              <w:jc w:val="center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Fond</w:t>
            </w:r>
          </w:p>
        </w:tc>
        <w:tc>
          <w:tcPr>
            <w:tcW w:w="1330" w:type="dxa"/>
            <w:vAlign w:val="center"/>
            <w:hideMark/>
          </w:tcPr>
          <w:p w14:paraId="104C881A" w14:textId="77777777" w:rsidR="00574B33" w:rsidRPr="00574B33" w:rsidRDefault="00574B33" w:rsidP="00BB02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Kategória regiónov</w:t>
            </w:r>
          </w:p>
        </w:tc>
        <w:tc>
          <w:tcPr>
            <w:tcW w:w="1395" w:type="dxa"/>
            <w:vAlign w:val="center"/>
            <w:hideMark/>
          </w:tcPr>
          <w:p w14:paraId="630E18BF" w14:textId="77777777" w:rsidR="00574B33" w:rsidRPr="00574B33" w:rsidRDefault="00574B33" w:rsidP="00BB02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Alokácia</w:t>
            </w:r>
          </w:p>
        </w:tc>
        <w:tc>
          <w:tcPr>
            <w:tcW w:w="1842" w:type="dxa"/>
            <w:vAlign w:val="center"/>
            <w:hideMark/>
          </w:tcPr>
          <w:p w14:paraId="2ED84648" w14:textId="77777777" w:rsidR="00574B33" w:rsidRPr="00574B33" w:rsidRDefault="00574B33" w:rsidP="00BB02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Plán kontrahovania</w:t>
            </w:r>
          </w:p>
        </w:tc>
        <w:tc>
          <w:tcPr>
            <w:tcW w:w="1701" w:type="dxa"/>
            <w:vAlign w:val="center"/>
            <w:hideMark/>
          </w:tcPr>
          <w:p w14:paraId="3A0D0B67" w14:textId="77777777" w:rsidR="00574B33" w:rsidRPr="00574B33" w:rsidRDefault="00574B33" w:rsidP="00BB02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 xml:space="preserve">Kontrahovanie (brutto) </w:t>
            </w:r>
            <w:r w:rsidRPr="00574B33">
              <w:rPr>
                <w:color w:val="000000" w:themeColor="text1"/>
                <w:szCs w:val="32"/>
              </w:rPr>
              <w:br/>
              <w:t>k 31.12.2024</w:t>
            </w:r>
          </w:p>
        </w:tc>
        <w:tc>
          <w:tcPr>
            <w:tcW w:w="1701" w:type="dxa"/>
            <w:vAlign w:val="center"/>
            <w:hideMark/>
          </w:tcPr>
          <w:p w14:paraId="217B40B1" w14:textId="77777777" w:rsidR="00574B33" w:rsidRPr="00574B33" w:rsidRDefault="00574B33" w:rsidP="00BB02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% plnenia plánu kontrahovania k 31.12.2024</w:t>
            </w:r>
          </w:p>
        </w:tc>
      </w:tr>
      <w:tr w:rsidR="00574B33" w:rsidRPr="00574B33" w14:paraId="01D63C5B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dxa"/>
            <w:vAlign w:val="center"/>
            <w:hideMark/>
          </w:tcPr>
          <w:p w14:paraId="556F3BBC" w14:textId="77777777" w:rsidR="00574B33" w:rsidRPr="00574B33" w:rsidRDefault="00574B33" w:rsidP="00DC5F1E">
            <w:pPr>
              <w:jc w:val="center"/>
              <w:rPr>
                <w:color w:val="000000" w:themeColor="text1"/>
                <w:szCs w:val="32"/>
              </w:rPr>
            </w:pPr>
            <w:r w:rsidRPr="00574B33">
              <w:rPr>
                <w:color w:val="000000" w:themeColor="text1"/>
                <w:szCs w:val="32"/>
              </w:rPr>
              <w:t>FST</w:t>
            </w:r>
          </w:p>
        </w:tc>
        <w:tc>
          <w:tcPr>
            <w:tcW w:w="1330" w:type="dxa"/>
            <w:vAlign w:val="center"/>
            <w:hideMark/>
          </w:tcPr>
          <w:p w14:paraId="27539069" w14:textId="77777777" w:rsidR="00574B33" w:rsidRPr="00574B33" w:rsidRDefault="00574B33" w:rsidP="00DC5F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574B33">
              <w:rPr>
                <w:b/>
                <w:bCs/>
                <w:color w:val="000000" w:themeColor="text1"/>
                <w:szCs w:val="32"/>
              </w:rPr>
              <w:t>N/A</w:t>
            </w:r>
          </w:p>
        </w:tc>
        <w:tc>
          <w:tcPr>
            <w:tcW w:w="1395" w:type="dxa"/>
            <w:noWrap/>
            <w:vAlign w:val="center"/>
            <w:hideMark/>
          </w:tcPr>
          <w:p w14:paraId="4BD7E250" w14:textId="77777777" w:rsidR="00574B33" w:rsidRPr="00574B33" w:rsidRDefault="00574B33" w:rsidP="00DC5F1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574B33">
              <w:rPr>
                <w:b/>
                <w:bCs/>
                <w:color w:val="000000" w:themeColor="text1"/>
                <w:szCs w:val="32"/>
              </w:rPr>
              <w:t> </w:t>
            </w:r>
            <w:r w:rsidR="00DC5F1E" w:rsidRPr="00DC5F1E">
              <w:rPr>
                <w:b/>
                <w:bCs/>
                <w:color w:val="000000" w:themeColor="text1"/>
                <w:szCs w:val="32"/>
              </w:rPr>
              <w:t>226 693 618</w:t>
            </w:r>
          </w:p>
        </w:tc>
        <w:tc>
          <w:tcPr>
            <w:tcW w:w="1842" w:type="dxa"/>
            <w:vAlign w:val="center"/>
            <w:hideMark/>
          </w:tcPr>
          <w:p w14:paraId="3411EC8F" w14:textId="77777777" w:rsidR="00574B33" w:rsidRPr="00574B33" w:rsidRDefault="00574B33" w:rsidP="00BB02D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574B33">
              <w:rPr>
                <w:b/>
                <w:bCs/>
                <w:color w:val="000000" w:themeColor="text1"/>
                <w:szCs w:val="32"/>
              </w:rPr>
              <w:t>167 135 716</w:t>
            </w:r>
          </w:p>
        </w:tc>
        <w:tc>
          <w:tcPr>
            <w:tcW w:w="1701" w:type="dxa"/>
            <w:vAlign w:val="center"/>
            <w:hideMark/>
          </w:tcPr>
          <w:p w14:paraId="2EACE718" w14:textId="77777777" w:rsidR="00574B33" w:rsidRPr="00574B33" w:rsidRDefault="00574B33" w:rsidP="00BB02D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574B33">
              <w:rPr>
                <w:b/>
                <w:bCs/>
                <w:color w:val="000000" w:themeColor="text1"/>
                <w:szCs w:val="32"/>
              </w:rPr>
              <w:t>35 429 619</w:t>
            </w:r>
          </w:p>
        </w:tc>
        <w:tc>
          <w:tcPr>
            <w:tcW w:w="1701" w:type="dxa"/>
            <w:vAlign w:val="center"/>
            <w:hideMark/>
          </w:tcPr>
          <w:p w14:paraId="3A2A3F96" w14:textId="77777777" w:rsidR="00574B33" w:rsidRPr="00574B33" w:rsidRDefault="00574B33" w:rsidP="00BB02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574B33">
              <w:rPr>
                <w:b/>
                <w:bCs/>
                <w:color w:val="000000" w:themeColor="text1"/>
                <w:szCs w:val="32"/>
              </w:rPr>
              <w:t>21,20%</w:t>
            </w:r>
          </w:p>
        </w:tc>
      </w:tr>
    </w:tbl>
    <w:p w14:paraId="12D620E4" w14:textId="77777777" w:rsidR="00574B33" w:rsidRDefault="00574B33" w:rsidP="00F533BC">
      <w:pPr>
        <w:spacing w:after="0" w:line="240" w:lineRule="auto"/>
        <w:rPr>
          <w:color w:val="000000" w:themeColor="text1"/>
          <w:szCs w:val="32"/>
        </w:rPr>
      </w:pPr>
    </w:p>
    <w:p w14:paraId="3BB8764A" w14:textId="77777777" w:rsidR="001A6BBD" w:rsidRDefault="001A6BBD" w:rsidP="001A6BBD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35,43 mil. EUR, pričom plán bol zakontrahovať 167,14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>e plánu je na úrovni</w:t>
      </w:r>
      <w:r>
        <w:rPr>
          <w:rFonts w:cstheme="minorHAnsi"/>
          <w:b/>
          <w:color w:val="000000" w:themeColor="text1"/>
          <w:szCs w:val="32"/>
        </w:rPr>
        <w:t xml:space="preserve"> 21,20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</w:t>
      </w:r>
    </w:p>
    <w:p w14:paraId="2E9ECCDA" w14:textId="26519D0D" w:rsidR="001A6BBD" w:rsidRDefault="001A6BBD" w:rsidP="001A6BBD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  <w:r w:rsidRPr="00995684">
        <w:rPr>
          <w:rFonts w:cstheme="minorHAnsi"/>
          <w:b/>
          <w:color w:val="000000" w:themeColor="text1"/>
          <w:szCs w:val="32"/>
        </w:rPr>
        <w:t xml:space="preserve">Kontrahovanie v rámci </w:t>
      </w:r>
      <w:r>
        <w:rPr>
          <w:rFonts w:cstheme="minorHAnsi"/>
          <w:b/>
          <w:color w:val="000000" w:themeColor="text1"/>
          <w:szCs w:val="32"/>
        </w:rPr>
        <w:t>SRR</w:t>
      </w:r>
      <w:r w:rsidRPr="00995684">
        <w:rPr>
          <w:rFonts w:cstheme="minorHAnsi"/>
          <w:b/>
          <w:color w:val="000000" w:themeColor="text1"/>
          <w:szCs w:val="32"/>
        </w:rPr>
        <w:t xml:space="preserve"> je </w:t>
      </w:r>
      <w:r>
        <w:rPr>
          <w:rFonts w:cstheme="minorHAnsi"/>
          <w:b/>
          <w:color w:val="000000" w:themeColor="text1"/>
          <w:szCs w:val="32"/>
        </w:rPr>
        <w:t>nízke,</w:t>
      </w:r>
      <w:r w:rsidRPr="00995684">
        <w:rPr>
          <w:rFonts w:cstheme="minorHAnsi"/>
          <w:b/>
          <w:color w:val="000000" w:themeColor="text1"/>
          <w:szCs w:val="32"/>
        </w:rPr>
        <w:t xml:space="preserve"> pričom z pridelenej alokácie </w:t>
      </w:r>
      <w:r w:rsidR="00D73D04">
        <w:rPr>
          <w:rFonts w:cstheme="minorHAnsi"/>
          <w:b/>
          <w:color w:val="000000" w:themeColor="text1"/>
          <w:szCs w:val="32"/>
        </w:rPr>
        <w:t>im</w:t>
      </w:r>
      <w:r w:rsidRPr="00995684">
        <w:rPr>
          <w:rFonts w:cstheme="minorHAnsi"/>
          <w:b/>
          <w:color w:val="000000" w:themeColor="text1"/>
          <w:szCs w:val="32"/>
        </w:rPr>
        <w:t xml:space="preserve"> zostáva zakontrahovať</w:t>
      </w:r>
      <w:r w:rsidR="00D30E64">
        <w:rPr>
          <w:rFonts w:cstheme="minorHAnsi"/>
          <w:b/>
          <w:color w:val="000000" w:themeColor="text1"/>
          <w:szCs w:val="32"/>
        </w:rPr>
        <w:t xml:space="preserve"> </w:t>
      </w:r>
      <w:r>
        <w:rPr>
          <w:rFonts w:cstheme="minorHAnsi"/>
          <w:b/>
          <w:color w:val="000000" w:themeColor="text1"/>
          <w:szCs w:val="32"/>
        </w:rPr>
        <w:t>191,26</w:t>
      </w:r>
      <w:r w:rsidRPr="00995684">
        <w:rPr>
          <w:rFonts w:cstheme="minorHAnsi"/>
          <w:b/>
          <w:color w:val="000000" w:themeColor="text1"/>
          <w:szCs w:val="32"/>
        </w:rPr>
        <w:t xml:space="preserve"> mil. EUR, čo predstavuje viac ako </w:t>
      </w:r>
      <w:r>
        <w:rPr>
          <w:rFonts w:cstheme="minorHAnsi"/>
          <w:b/>
          <w:color w:val="000000" w:themeColor="text1"/>
          <w:szCs w:val="32"/>
        </w:rPr>
        <w:t>5</w:t>
      </w:r>
      <w:r w:rsidR="00CC6C67">
        <w:rPr>
          <w:rFonts w:cstheme="minorHAnsi"/>
          <w:b/>
          <w:color w:val="000000" w:themeColor="text1"/>
          <w:szCs w:val="32"/>
        </w:rPr>
        <w:t>-</w:t>
      </w:r>
      <w:r w:rsidRPr="00995684">
        <w:rPr>
          <w:rFonts w:cstheme="minorHAnsi"/>
          <w:b/>
          <w:color w:val="000000" w:themeColor="text1"/>
          <w:szCs w:val="32"/>
        </w:rPr>
        <w:t>násobok doposiaľ zazmluvnenej alokácie.</w:t>
      </w:r>
    </w:p>
    <w:p w14:paraId="169DBD3D" w14:textId="4E797AE8" w:rsidR="00C41322" w:rsidRDefault="00C41322" w:rsidP="005647AB">
      <w:pPr>
        <w:pStyle w:val="Nadpis4"/>
      </w:pPr>
      <w:bookmarkStart w:id="13" w:name="_Toc193446279"/>
      <w:r w:rsidRPr="00C41322">
        <w:t>Príčiny nenaplnenia investičného plánu</w:t>
      </w:r>
      <w:bookmarkEnd w:id="13"/>
    </w:p>
    <w:p w14:paraId="3F04F5D1" w14:textId="606CC4B0" w:rsidR="00A32F34" w:rsidRDefault="006B282D" w:rsidP="00D30E64">
      <w:pPr>
        <w:spacing w:after="0" w:line="240" w:lineRule="auto"/>
        <w:jc w:val="both"/>
      </w:pPr>
      <w:r>
        <w:t xml:space="preserve">Hlavnou príčinou nenaplnenia Investičného plánu je fakt, že </w:t>
      </w:r>
      <w:r w:rsidR="00D30E64">
        <w:t xml:space="preserve">sa </w:t>
      </w:r>
      <w:r>
        <w:t xml:space="preserve">do konca roku 2024 nepodarilo zazmluvniť viacero schválených ŽoNFP. K 31. 12. 2024 bolo 13 schválených </w:t>
      </w:r>
      <w:r w:rsidR="00D30E64">
        <w:t>Ž</w:t>
      </w:r>
      <w:r>
        <w:t>oNFP v</w:t>
      </w:r>
      <w:r w:rsidR="005647AB">
        <w:t> </w:t>
      </w:r>
      <w:r>
        <w:t>objeme</w:t>
      </w:r>
      <w:r w:rsidR="005647AB">
        <w:br/>
      </w:r>
      <w:r>
        <w:t>92,2 mil. EUR, uvedené sa týka</w:t>
      </w:r>
      <w:r w:rsidR="004C352D">
        <w:t>lo</w:t>
      </w:r>
      <w:r>
        <w:t xml:space="preserve"> výzvy č. </w:t>
      </w:r>
      <w:r w:rsidRPr="00E44C65">
        <w:t>PSK-MIRRI-001-2023-DV-FST</w:t>
      </w:r>
      <w:r>
        <w:t xml:space="preserve">, </w:t>
      </w:r>
      <w:r w:rsidRPr="00E44C65">
        <w:t>PSK-MIRRI-004-2023-DV-FST</w:t>
      </w:r>
      <w:r>
        <w:t xml:space="preserve"> a výzvy č. </w:t>
      </w:r>
      <w:r w:rsidRPr="00E44C65">
        <w:t>PSK-MIRRI-006-2023-NP-FST</w:t>
      </w:r>
      <w:r>
        <w:t xml:space="preserve">. Napríklad národný projekt s alokáciou viac ako 56 mil. EUR, v rámci výzvy č. </w:t>
      </w:r>
      <w:r w:rsidRPr="00E44C65">
        <w:t>PSK-MIRRI-006-2023-NP-FST</w:t>
      </w:r>
      <w:r>
        <w:t xml:space="preserve"> </w:t>
      </w:r>
      <w:r w:rsidR="005647AB">
        <w:t>ne</w:t>
      </w:r>
      <w:r>
        <w:t>bol</w:t>
      </w:r>
      <w:r w:rsidR="005647AB">
        <w:t xml:space="preserve"> do konca roka</w:t>
      </w:r>
      <w:r>
        <w:t xml:space="preserve"> zakontrahovaný</w:t>
      </w:r>
      <w:r w:rsidR="00D30E64">
        <w:t>.</w:t>
      </w:r>
    </w:p>
    <w:p w14:paraId="1D25841D" w14:textId="77777777" w:rsidR="00574B33" w:rsidRDefault="000904F2" w:rsidP="002336FE">
      <w:pPr>
        <w:pStyle w:val="Nadpis2"/>
        <w:rPr>
          <w:rFonts w:eastAsiaTheme="minorHAnsi" w:cstheme="minorBidi"/>
        </w:rPr>
      </w:pPr>
      <w:bookmarkStart w:id="14" w:name="_Toc193446280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574B33" w:rsidRPr="00574B33">
        <w:rPr>
          <w:rFonts w:eastAsiaTheme="minorHAnsi" w:cstheme="minorBidi"/>
        </w:rPr>
        <w:t>MD SR</w:t>
      </w:r>
      <w:bookmarkEnd w:id="14"/>
    </w:p>
    <w:p w14:paraId="434A19DC" w14:textId="77777777" w:rsidR="00574B33" w:rsidRDefault="00574B33" w:rsidP="00574B33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8</w:t>
      </w:r>
      <w:r w:rsidRPr="00E738D3">
        <w:rPr>
          <w:color w:val="000000" w:themeColor="text1"/>
          <w:szCs w:val="32"/>
        </w:rPr>
        <w:t xml:space="preserve"> Prehľad plnenia Investičných plánov </w:t>
      </w:r>
      <w:r w:rsidRPr="00574B33">
        <w:rPr>
          <w:color w:val="000000" w:themeColor="text1"/>
          <w:szCs w:val="32"/>
        </w:rPr>
        <w:t>MD SR</w:t>
      </w:r>
    </w:p>
    <w:tbl>
      <w:tblPr>
        <w:tblStyle w:val="Tabukasozoznamom1svetl"/>
        <w:tblW w:w="9072" w:type="dxa"/>
        <w:tblLook w:val="04A0" w:firstRow="1" w:lastRow="0" w:firstColumn="1" w:lastColumn="0" w:noHBand="0" w:noVBand="1"/>
      </w:tblPr>
      <w:tblGrid>
        <w:gridCol w:w="1134"/>
        <w:gridCol w:w="1134"/>
        <w:gridCol w:w="1701"/>
        <w:gridCol w:w="1701"/>
        <w:gridCol w:w="1701"/>
        <w:gridCol w:w="1701"/>
      </w:tblGrid>
      <w:tr w:rsidR="00574B33" w:rsidRPr="00574B33" w14:paraId="5CEF7553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vAlign w:val="center"/>
            <w:hideMark/>
          </w:tcPr>
          <w:p w14:paraId="0CCEF826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134" w:type="dxa"/>
            <w:vAlign w:val="center"/>
            <w:hideMark/>
          </w:tcPr>
          <w:p w14:paraId="7B127A81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701" w:type="dxa"/>
            <w:vAlign w:val="center"/>
            <w:hideMark/>
          </w:tcPr>
          <w:p w14:paraId="0EF2A99E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701" w:type="dxa"/>
            <w:vAlign w:val="center"/>
            <w:hideMark/>
          </w:tcPr>
          <w:p w14:paraId="0E61C487" w14:textId="77777777" w:rsidR="00574B3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bCs w:val="0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701" w:type="dxa"/>
            <w:vAlign w:val="center"/>
            <w:hideMark/>
          </w:tcPr>
          <w:p w14:paraId="57BD3660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701" w:type="dxa"/>
            <w:vAlign w:val="center"/>
            <w:hideMark/>
          </w:tcPr>
          <w:p w14:paraId="10DBD7B8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574B33" w:rsidRPr="00574B33" w14:paraId="6CF4D199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noWrap/>
            <w:vAlign w:val="center"/>
            <w:hideMark/>
          </w:tcPr>
          <w:p w14:paraId="6974D5EE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4" w:type="dxa"/>
            <w:noWrap/>
            <w:vAlign w:val="center"/>
            <w:hideMark/>
          </w:tcPr>
          <w:p w14:paraId="423FF110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701" w:type="dxa"/>
            <w:noWrap/>
            <w:vAlign w:val="center"/>
            <w:hideMark/>
          </w:tcPr>
          <w:p w14:paraId="2A0FD858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20 000 000</w:t>
            </w:r>
          </w:p>
        </w:tc>
        <w:tc>
          <w:tcPr>
            <w:tcW w:w="1701" w:type="dxa"/>
            <w:noWrap/>
            <w:vAlign w:val="center"/>
            <w:hideMark/>
          </w:tcPr>
          <w:p w14:paraId="3CEB602A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5 800 000 </w:t>
            </w:r>
          </w:p>
        </w:tc>
        <w:tc>
          <w:tcPr>
            <w:tcW w:w="1701" w:type="dxa"/>
            <w:noWrap/>
            <w:vAlign w:val="center"/>
            <w:hideMark/>
          </w:tcPr>
          <w:p w14:paraId="2CD50DF1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                          -   </w:t>
            </w:r>
          </w:p>
        </w:tc>
        <w:tc>
          <w:tcPr>
            <w:tcW w:w="1701" w:type="dxa"/>
            <w:vAlign w:val="center"/>
            <w:hideMark/>
          </w:tcPr>
          <w:p w14:paraId="0484927F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0,00%</w:t>
            </w:r>
          </w:p>
        </w:tc>
      </w:tr>
      <w:tr w:rsidR="00574B33" w:rsidRPr="00574B33" w14:paraId="2F5ED9B0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noWrap/>
            <w:vAlign w:val="center"/>
            <w:hideMark/>
          </w:tcPr>
          <w:p w14:paraId="0719D505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4" w:type="dxa"/>
            <w:noWrap/>
            <w:vAlign w:val="center"/>
            <w:hideMark/>
          </w:tcPr>
          <w:p w14:paraId="050DCCCE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701" w:type="dxa"/>
            <w:noWrap/>
            <w:vAlign w:val="center"/>
            <w:hideMark/>
          </w:tcPr>
          <w:p w14:paraId="7D769FD9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1 345 214 999</w:t>
            </w:r>
          </w:p>
        </w:tc>
        <w:tc>
          <w:tcPr>
            <w:tcW w:w="1701" w:type="dxa"/>
            <w:noWrap/>
            <w:vAlign w:val="center"/>
            <w:hideMark/>
          </w:tcPr>
          <w:p w14:paraId="4ADF3DB2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711 120 252 </w:t>
            </w:r>
          </w:p>
        </w:tc>
        <w:tc>
          <w:tcPr>
            <w:tcW w:w="1701" w:type="dxa"/>
            <w:noWrap/>
            <w:vAlign w:val="center"/>
            <w:hideMark/>
          </w:tcPr>
          <w:p w14:paraId="714EA4DC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450 072 466 </w:t>
            </w:r>
          </w:p>
        </w:tc>
        <w:tc>
          <w:tcPr>
            <w:tcW w:w="1701" w:type="dxa"/>
            <w:vAlign w:val="center"/>
            <w:hideMark/>
          </w:tcPr>
          <w:p w14:paraId="71178BE6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63,29%</w:t>
            </w:r>
          </w:p>
        </w:tc>
      </w:tr>
      <w:tr w:rsidR="00574B33" w:rsidRPr="00574B33" w14:paraId="3532F350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noWrap/>
            <w:vAlign w:val="center"/>
            <w:hideMark/>
          </w:tcPr>
          <w:p w14:paraId="64D1F466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KF</w:t>
            </w:r>
          </w:p>
        </w:tc>
        <w:tc>
          <w:tcPr>
            <w:tcW w:w="1134" w:type="dxa"/>
            <w:vAlign w:val="center"/>
            <w:hideMark/>
          </w:tcPr>
          <w:p w14:paraId="6599E77C" w14:textId="77777777" w:rsidR="00574B33" w:rsidRPr="00574B33" w:rsidRDefault="00574B33" w:rsidP="008A75C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N/A</w:t>
            </w:r>
          </w:p>
        </w:tc>
        <w:tc>
          <w:tcPr>
            <w:tcW w:w="1701" w:type="dxa"/>
            <w:noWrap/>
            <w:vAlign w:val="center"/>
            <w:hideMark/>
          </w:tcPr>
          <w:p w14:paraId="5C52789B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1 613 677 420</w:t>
            </w:r>
          </w:p>
        </w:tc>
        <w:tc>
          <w:tcPr>
            <w:tcW w:w="1701" w:type="dxa"/>
            <w:noWrap/>
            <w:vAlign w:val="center"/>
            <w:hideMark/>
          </w:tcPr>
          <w:p w14:paraId="62E9B61C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419 556 129 </w:t>
            </w:r>
          </w:p>
        </w:tc>
        <w:tc>
          <w:tcPr>
            <w:tcW w:w="1701" w:type="dxa"/>
            <w:noWrap/>
            <w:vAlign w:val="center"/>
            <w:hideMark/>
          </w:tcPr>
          <w:p w14:paraId="3AFC4E47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698 620 851 </w:t>
            </w:r>
          </w:p>
        </w:tc>
        <w:tc>
          <w:tcPr>
            <w:tcW w:w="1701" w:type="dxa"/>
            <w:vAlign w:val="center"/>
            <w:hideMark/>
          </w:tcPr>
          <w:p w14:paraId="7C53C82A" w14:textId="77777777" w:rsidR="00574B33" w:rsidRPr="00276BE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276BE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166,51%</w:t>
            </w:r>
          </w:p>
        </w:tc>
      </w:tr>
      <w:tr w:rsidR="00574B33" w:rsidRPr="00574B33" w14:paraId="1A27715F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gridSpan w:val="2"/>
            <w:noWrap/>
            <w:vAlign w:val="center"/>
            <w:hideMark/>
          </w:tcPr>
          <w:p w14:paraId="7EAD07DE" w14:textId="77777777" w:rsidR="00574B33" w:rsidRPr="00574B33" w:rsidRDefault="00574B33" w:rsidP="00574B33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701" w:type="dxa"/>
            <w:noWrap/>
            <w:vAlign w:val="center"/>
            <w:hideMark/>
          </w:tcPr>
          <w:p w14:paraId="4F13DE9C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2 978 892 419</w:t>
            </w:r>
          </w:p>
        </w:tc>
        <w:tc>
          <w:tcPr>
            <w:tcW w:w="1701" w:type="dxa"/>
            <w:noWrap/>
            <w:vAlign w:val="center"/>
            <w:hideMark/>
          </w:tcPr>
          <w:p w14:paraId="484FF664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1 136 476 381</w:t>
            </w:r>
          </w:p>
        </w:tc>
        <w:tc>
          <w:tcPr>
            <w:tcW w:w="1701" w:type="dxa"/>
            <w:noWrap/>
            <w:vAlign w:val="center"/>
            <w:hideMark/>
          </w:tcPr>
          <w:p w14:paraId="3EAC2D80" w14:textId="77777777" w:rsidR="00574B33" w:rsidRPr="00574B33" w:rsidRDefault="00574B33" w:rsidP="00574B3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1 148 693 317</w:t>
            </w:r>
          </w:p>
        </w:tc>
        <w:tc>
          <w:tcPr>
            <w:tcW w:w="1701" w:type="dxa"/>
            <w:vAlign w:val="center"/>
            <w:hideMark/>
          </w:tcPr>
          <w:p w14:paraId="6E5A52CD" w14:textId="77777777" w:rsidR="00574B33" w:rsidRPr="00574B33" w:rsidRDefault="00574B33" w:rsidP="00276BE3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574B33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101,07%</w:t>
            </w:r>
          </w:p>
        </w:tc>
      </w:tr>
    </w:tbl>
    <w:p w14:paraId="7634F664" w14:textId="77777777" w:rsidR="002324F7" w:rsidRDefault="002324F7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8DD52F6" w14:textId="10D28A6B" w:rsidR="009337E1" w:rsidRDefault="002324F7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1,148 mld. EUR, pričom plán bol zakontrahovať 1,136 mld.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101,07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 V rámci jednotlivých fondov má najvyššie plnenie KF, ktorý dosahuje plnenie až na úrovni 166,51 %. Naopak nulové plnenie má EFRR v rámci viac rozvinutého regiónu. Jedná sa, ale o nízku sumu, ktorá nemá takmer žiadny vplyv z p</w:t>
      </w:r>
      <w:r w:rsidR="00D30E64">
        <w:rPr>
          <w:rFonts w:cstheme="minorHAnsi"/>
          <w:color w:val="000000" w:themeColor="text1"/>
          <w:szCs w:val="32"/>
        </w:rPr>
        <w:t>ohľadu celkového plnenia plánu.</w:t>
      </w:r>
    </w:p>
    <w:p w14:paraId="7814DE6B" w14:textId="20E3F51E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43F468E" w14:textId="034E9312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786CCC6A" w14:textId="02843F9D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26892E12" w14:textId="7EF1586A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0BD9C416" w14:textId="05532603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1E5FEC1" w14:textId="321C432C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0149B559" w14:textId="7839C3B2" w:rsidR="00D30E64" w:rsidRDefault="00D30E64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5B1573D5" w14:textId="06B62D9E" w:rsidR="0040195E" w:rsidRDefault="0040195E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1600ADE3" w14:textId="540E959E" w:rsidR="0040195E" w:rsidRDefault="0040195E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4E8EA145" w14:textId="77777777" w:rsidR="0040195E" w:rsidRDefault="0040195E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492D0270" w14:textId="77777777" w:rsidR="00276BE3" w:rsidRPr="002336FE" w:rsidRDefault="000904F2" w:rsidP="002336FE">
      <w:pPr>
        <w:pStyle w:val="Nadpis2"/>
      </w:pPr>
      <w:bookmarkStart w:id="15" w:name="_Toc193446281"/>
      <w:r w:rsidRPr="002336FE">
        <w:lastRenderedPageBreak/>
        <w:t xml:space="preserve">Plnenie investičného plánu kontrahovania za </w:t>
      </w:r>
      <w:r w:rsidR="00276BE3" w:rsidRPr="002336FE">
        <w:t>MŽP SR</w:t>
      </w:r>
      <w:bookmarkEnd w:id="15"/>
    </w:p>
    <w:p w14:paraId="5EC36F8F" w14:textId="77777777" w:rsidR="00276BE3" w:rsidRDefault="00276BE3" w:rsidP="00276BE3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9</w:t>
      </w:r>
      <w:r w:rsidRPr="00E738D3">
        <w:rPr>
          <w:color w:val="000000" w:themeColor="text1"/>
          <w:szCs w:val="32"/>
        </w:rPr>
        <w:t xml:space="preserve"> Prehľad plnenia Investičných plánov </w:t>
      </w:r>
      <w:r>
        <w:rPr>
          <w:color w:val="000000" w:themeColor="text1"/>
          <w:szCs w:val="32"/>
        </w:rPr>
        <w:t>MŽP</w:t>
      </w:r>
      <w:r w:rsidRPr="00574B33">
        <w:rPr>
          <w:color w:val="000000" w:themeColor="text1"/>
          <w:szCs w:val="32"/>
        </w:rPr>
        <w:t xml:space="preserve"> SR</w:t>
      </w:r>
    </w:p>
    <w:p w14:paraId="0A9B97DF" w14:textId="77777777" w:rsidR="008A75C0" w:rsidRDefault="008A75C0" w:rsidP="00276BE3">
      <w:pPr>
        <w:spacing w:after="0" w:line="240" w:lineRule="auto"/>
        <w:rPr>
          <w:color w:val="000000" w:themeColor="text1"/>
          <w:szCs w:val="32"/>
        </w:rPr>
      </w:pPr>
    </w:p>
    <w:tbl>
      <w:tblPr>
        <w:tblStyle w:val="Tabukasozoznamom1svetl"/>
        <w:tblW w:w="0" w:type="auto"/>
        <w:jc w:val="center"/>
        <w:tblLook w:val="04A0" w:firstRow="1" w:lastRow="0" w:firstColumn="1" w:lastColumn="0" w:noHBand="0" w:noVBand="1"/>
      </w:tblPr>
      <w:tblGrid>
        <w:gridCol w:w="1081"/>
        <w:gridCol w:w="1185"/>
        <w:gridCol w:w="1703"/>
        <w:gridCol w:w="1701"/>
        <w:gridCol w:w="1574"/>
        <w:gridCol w:w="1828"/>
      </w:tblGrid>
      <w:tr w:rsidR="008A75C0" w:rsidRPr="008A75C0" w14:paraId="0D14DE21" w14:textId="77777777" w:rsidTr="008A75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  <w:hideMark/>
          </w:tcPr>
          <w:p w14:paraId="0E1DEE1A" w14:textId="77777777" w:rsidR="008A75C0" w:rsidRPr="008A75C0" w:rsidRDefault="008A75C0" w:rsidP="008A75C0">
            <w:pPr>
              <w:jc w:val="center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Fond</w:t>
            </w:r>
          </w:p>
        </w:tc>
        <w:tc>
          <w:tcPr>
            <w:tcW w:w="1185" w:type="dxa"/>
            <w:vAlign w:val="center"/>
            <w:hideMark/>
          </w:tcPr>
          <w:p w14:paraId="2D4415BE" w14:textId="77777777" w:rsidR="008A75C0" w:rsidRPr="008A75C0" w:rsidRDefault="008A75C0" w:rsidP="008A75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Kategória regiónov</w:t>
            </w:r>
          </w:p>
        </w:tc>
        <w:tc>
          <w:tcPr>
            <w:tcW w:w="1703" w:type="dxa"/>
            <w:vAlign w:val="center"/>
            <w:hideMark/>
          </w:tcPr>
          <w:p w14:paraId="2802D9A4" w14:textId="77777777" w:rsidR="008A75C0" w:rsidRPr="008A75C0" w:rsidRDefault="008A75C0" w:rsidP="008A75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Alokácia</w:t>
            </w:r>
          </w:p>
        </w:tc>
        <w:tc>
          <w:tcPr>
            <w:tcW w:w="1701" w:type="dxa"/>
            <w:vAlign w:val="center"/>
            <w:hideMark/>
          </w:tcPr>
          <w:p w14:paraId="10642439" w14:textId="77777777" w:rsidR="008A75C0" w:rsidRPr="008A75C0" w:rsidRDefault="008A75C0" w:rsidP="008A75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Plán kontrahovania</w:t>
            </w:r>
          </w:p>
        </w:tc>
        <w:tc>
          <w:tcPr>
            <w:tcW w:w="1574" w:type="dxa"/>
            <w:vAlign w:val="center"/>
            <w:hideMark/>
          </w:tcPr>
          <w:p w14:paraId="6CCE68A9" w14:textId="77777777" w:rsidR="008A75C0" w:rsidRPr="008A75C0" w:rsidRDefault="008A75C0" w:rsidP="008A75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 xml:space="preserve">Kontrahovanie (brutto) </w:t>
            </w:r>
            <w:r w:rsidRPr="008A75C0">
              <w:rPr>
                <w:color w:val="000000" w:themeColor="text1"/>
                <w:szCs w:val="32"/>
              </w:rPr>
              <w:br/>
              <w:t>k 31.12.2024</w:t>
            </w:r>
          </w:p>
        </w:tc>
        <w:tc>
          <w:tcPr>
            <w:tcW w:w="1828" w:type="dxa"/>
            <w:vAlign w:val="center"/>
            <w:hideMark/>
          </w:tcPr>
          <w:p w14:paraId="4591FFF3" w14:textId="77777777" w:rsidR="008A75C0" w:rsidRPr="008A75C0" w:rsidRDefault="008A75C0" w:rsidP="008A75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% plnenia plánu kontrahovania k 31.12.2024</w:t>
            </w:r>
          </w:p>
        </w:tc>
      </w:tr>
      <w:tr w:rsidR="008A75C0" w:rsidRPr="008A75C0" w14:paraId="14412D77" w14:textId="77777777" w:rsidTr="008A75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noWrap/>
            <w:hideMark/>
          </w:tcPr>
          <w:p w14:paraId="749A4B16" w14:textId="77777777" w:rsidR="008A75C0" w:rsidRPr="008A75C0" w:rsidRDefault="008A75C0" w:rsidP="008A75C0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8A75C0">
              <w:rPr>
                <w:b w:val="0"/>
                <w:color w:val="000000" w:themeColor="text1"/>
                <w:szCs w:val="32"/>
              </w:rPr>
              <w:t>EFRR</w:t>
            </w:r>
          </w:p>
        </w:tc>
        <w:tc>
          <w:tcPr>
            <w:tcW w:w="1185" w:type="dxa"/>
            <w:noWrap/>
            <w:hideMark/>
          </w:tcPr>
          <w:p w14:paraId="5E3F868C" w14:textId="77777777" w:rsidR="008A75C0" w:rsidRPr="008A75C0" w:rsidRDefault="008A75C0" w:rsidP="008A75C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VR</w:t>
            </w:r>
          </w:p>
        </w:tc>
        <w:tc>
          <w:tcPr>
            <w:tcW w:w="1703" w:type="dxa"/>
            <w:noWrap/>
            <w:hideMark/>
          </w:tcPr>
          <w:p w14:paraId="461996EE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55 997 638</w:t>
            </w:r>
          </w:p>
        </w:tc>
        <w:tc>
          <w:tcPr>
            <w:tcW w:w="1701" w:type="dxa"/>
            <w:noWrap/>
            <w:hideMark/>
          </w:tcPr>
          <w:p w14:paraId="5EBFFBC8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 xml:space="preserve">19 599 173 </w:t>
            </w:r>
          </w:p>
        </w:tc>
        <w:tc>
          <w:tcPr>
            <w:tcW w:w="1574" w:type="dxa"/>
            <w:noWrap/>
            <w:hideMark/>
          </w:tcPr>
          <w:p w14:paraId="062B00E6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5 782 420</w:t>
            </w:r>
          </w:p>
        </w:tc>
        <w:tc>
          <w:tcPr>
            <w:tcW w:w="1828" w:type="dxa"/>
            <w:hideMark/>
          </w:tcPr>
          <w:p w14:paraId="3ACE37D8" w14:textId="77777777" w:rsidR="008A75C0" w:rsidRPr="008A75C0" w:rsidRDefault="008A75C0" w:rsidP="008A75C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29,50%</w:t>
            </w:r>
          </w:p>
        </w:tc>
      </w:tr>
      <w:tr w:rsidR="008A75C0" w:rsidRPr="008A75C0" w14:paraId="11D813E3" w14:textId="77777777" w:rsidTr="008A75C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noWrap/>
            <w:hideMark/>
          </w:tcPr>
          <w:p w14:paraId="2379F976" w14:textId="77777777" w:rsidR="008A75C0" w:rsidRPr="008A75C0" w:rsidRDefault="008A75C0" w:rsidP="008A75C0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8A75C0">
              <w:rPr>
                <w:b w:val="0"/>
                <w:color w:val="000000" w:themeColor="text1"/>
                <w:szCs w:val="32"/>
              </w:rPr>
              <w:t>EFRR</w:t>
            </w:r>
          </w:p>
        </w:tc>
        <w:tc>
          <w:tcPr>
            <w:tcW w:w="1185" w:type="dxa"/>
            <w:noWrap/>
            <w:hideMark/>
          </w:tcPr>
          <w:p w14:paraId="1963E56F" w14:textId="77777777" w:rsidR="008A75C0" w:rsidRPr="008A75C0" w:rsidRDefault="008A75C0" w:rsidP="008A75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MR</w:t>
            </w:r>
          </w:p>
        </w:tc>
        <w:tc>
          <w:tcPr>
            <w:tcW w:w="1703" w:type="dxa"/>
            <w:noWrap/>
            <w:hideMark/>
          </w:tcPr>
          <w:p w14:paraId="28658454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 xml:space="preserve"> 867 427 839</w:t>
            </w:r>
          </w:p>
        </w:tc>
        <w:tc>
          <w:tcPr>
            <w:tcW w:w="1701" w:type="dxa"/>
            <w:noWrap/>
            <w:hideMark/>
          </w:tcPr>
          <w:p w14:paraId="59925C69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 xml:space="preserve">303 599 744 </w:t>
            </w:r>
          </w:p>
        </w:tc>
        <w:tc>
          <w:tcPr>
            <w:tcW w:w="1574" w:type="dxa"/>
            <w:noWrap/>
            <w:hideMark/>
          </w:tcPr>
          <w:p w14:paraId="5EF01670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209 068 628</w:t>
            </w:r>
          </w:p>
        </w:tc>
        <w:tc>
          <w:tcPr>
            <w:tcW w:w="1828" w:type="dxa"/>
            <w:hideMark/>
          </w:tcPr>
          <w:p w14:paraId="3B99AEEA" w14:textId="77777777" w:rsidR="008A75C0" w:rsidRPr="008A75C0" w:rsidRDefault="008A75C0" w:rsidP="008A75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68,86%</w:t>
            </w:r>
          </w:p>
        </w:tc>
      </w:tr>
      <w:tr w:rsidR="008A75C0" w:rsidRPr="008A75C0" w14:paraId="76B5FA82" w14:textId="77777777" w:rsidTr="008A75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noWrap/>
            <w:hideMark/>
          </w:tcPr>
          <w:p w14:paraId="297FACE1" w14:textId="77777777" w:rsidR="008A75C0" w:rsidRPr="008A75C0" w:rsidRDefault="008A75C0" w:rsidP="008A75C0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8A75C0">
              <w:rPr>
                <w:b w:val="0"/>
                <w:color w:val="000000" w:themeColor="text1"/>
                <w:szCs w:val="32"/>
              </w:rPr>
              <w:t>KF</w:t>
            </w:r>
          </w:p>
        </w:tc>
        <w:tc>
          <w:tcPr>
            <w:tcW w:w="1185" w:type="dxa"/>
            <w:hideMark/>
          </w:tcPr>
          <w:p w14:paraId="2217FD2C" w14:textId="77777777" w:rsidR="008A75C0" w:rsidRPr="008A75C0" w:rsidRDefault="008A75C0" w:rsidP="008A75C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N/A</w:t>
            </w:r>
          </w:p>
        </w:tc>
        <w:tc>
          <w:tcPr>
            <w:tcW w:w="1703" w:type="dxa"/>
            <w:noWrap/>
            <w:hideMark/>
          </w:tcPr>
          <w:p w14:paraId="0D5834C3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790 998 920</w:t>
            </w:r>
          </w:p>
        </w:tc>
        <w:tc>
          <w:tcPr>
            <w:tcW w:w="1701" w:type="dxa"/>
            <w:noWrap/>
            <w:hideMark/>
          </w:tcPr>
          <w:p w14:paraId="0BECE406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 xml:space="preserve">276 849 622 </w:t>
            </w:r>
          </w:p>
        </w:tc>
        <w:tc>
          <w:tcPr>
            <w:tcW w:w="1574" w:type="dxa"/>
            <w:noWrap/>
            <w:hideMark/>
          </w:tcPr>
          <w:p w14:paraId="19F48316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414 445 394</w:t>
            </w:r>
          </w:p>
        </w:tc>
        <w:tc>
          <w:tcPr>
            <w:tcW w:w="1828" w:type="dxa"/>
            <w:hideMark/>
          </w:tcPr>
          <w:p w14:paraId="5455B2B7" w14:textId="77777777" w:rsidR="008A75C0" w:rsidRPr="008A75C0" w:rsidRDefault="008A75C0" w:rsidP="008A75C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149,70%</w:t>
            </w:r>
          </w:p>
        </w:tc>
      </w:tr>
      <w:tr w:rsidR="008A75C0" w:rsidRPr="008A75C0" w14:paraId="666CFF60" w14:textId="77777777" w:rsidTr="008A75C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noWrap/>
            <w:hideMark/>
          </w:tcPr>
          <w:p w14:paraId="3E5839DF" w14:textId="77777777" w:rsidR="008A75C0" w:rsidRPr="008A75C0" w:rsidRDefault="008A75C0" w:rsidP="008A75C0">
            <w:pPr>
              <w:jc w:val="center"/>
              <w:rPr>
                <w:b w:val="0"/>
                <w:color w:val="000000" w:themeColor="text1"/>
                <w:szCs w:val="32"/>
              </w:rPr>
            </w:pPr>
            <w:r w:rsidRPr="008A75C0">
              <w:rPr>
                <w:b w:val="0"/>
                <w:color w:val="000000" w:themeColor="text1"/>
                <w:szCs w:val="32"/>
              </w:rPr>
              <w:t>FST</w:t>
            </w:r>
          </w:p>
        </w:tc>
        <w:tc>
          <w:tcPr>
            <w:tcW w:w="1185" w:type="dxa"/>
            <w:noWrap/>
            <w:hideMark/>
          </w:tcPr>
          <w:p w14:paraId="59B10889" w14:textId="77777777" w:rsidR="008A75C0" w:rsidRPr="008A75C0" w:rsidRDefault="008A75C0" w:rsidP="008A75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MR</w:t>
            </w:r>
          </w:p>
        </w:tc>
        <w:tc>
          <w:tcPr>
            <w:tcW w:w="1703" w:type="dxa"/>
            <w:noWrap/>
            <w:hideMark/>
          </w:tcPr>
          <w:p w14:paraId="77A15884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10 556 693</w:t>
            </w:r>
          </w:p>
        </w:tc>
        <w:tc>
          <w:tcPr>
            <w:tcW w:w="1701" w:type="dxa"/>
            <w:noWrap/>
            <w:hideMark/>
          </w:tcPr>
          <w:p w14:paraId="03CDBD9D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 xml:space="preserve">                     -   </w:t>
            </w:r>
          </w:p>
        </w:tc>
        <w:tc>
          <w:tcPr>
            <w:tcW w:w="1574" w:type="dxa"/>
            <w:noWrap/>
            <w:hideMark/>
          </w:tcPr>
          <w:p w14:paraId="06EFD4AE" w14:textId="77777777" w:rsidR="008A75C0" w:rsidRPr="008A75C0" w:rsidRDefault="008A75C0" w:rsidP="008A75C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>
              <w:rPr>
                <w:color w:val="000000" w:themeColor="text1"/>
                <w:szCs w:val="32"/>
              </w:rPr>
              <w:t>-</w:t>
            </w:r>
            <w:r w:rsidRPr="008A75C0">
              <w:rPr>
                <w:color w:val="000000" w:themeColor="text1"/>
                <w:szCs w:val="32"/>
              </w:rPr>
              <w:t xml:space="preserve">  </w:t>
            </w:r>
          </w:p>
        </w:tc>
        <w:tc>
          <w:tcPr>
            <w:tcW w:w="1828" w:type="dxa"/>
            <w:hideMark/>
          </w:tcPr>
          <w:p w14:paraId="39BEC3DE" w14:textId="77777777" w:rsidR="008A75C0" w:rsidRPr="008A75C0" w:rsidRDefault="008A75C0" w:rsidP="008A75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N/A</w:t>
            </w:r>
          </w:p>
        </w:tc>
      </w:tr>
      <w:tr w:rsidR="008A75C0" w:rsidRPr="008A75C0" w14:paraId="53DCF60B" w14:textId="77777777" w:rsidTr="008A75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6" w:type="dxa"/>
            <w:gridSpan w:val="2"/>
            <w:noWrap/>
            <w:hideMark/>
          </w:tcPr>
          <w:p w14:paraId="7E8DFD02" w14:textId="77777777" w:rsidR="008A75C0" w:rsidRPr="008A75C0" w:rsidRDefault="008A75C0" w:rsidP="008A75C0">
            <w:pPr>
              <w:jc w:val="center"/>
              <w:rPr>
                <w:color w:val="000000" w:themeColor="text1"/>
                <w:szCs w:val="32"/>
              </w:rPr>
            </w:pPr>
            <w:r w:rsidRPr="008A75C0">
              <w:rPr>
                <w:color w:val="000000" w:themeColor="text1"/>
                <w:szCs w:val="32"/>
              </w:rPr>
              <w:t>Spolu</w:t>
            </w:r>
          </w:p>
        </w:tc>
        <w:tc>
          <w:tcPr>
            <w:tcW w:w="1703" w:type="dxa"/>
            <w:noWrap/>
            <w:hideMark/>
          </w:tcPr>
          <w:p w14:paraId="28302E96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>
              <w:rPr>
                <w:b/>
                <w:bCs/>
                <w:color w:val="000000" w:themeColor="text1"/>
                <w:szCs w:val="32"/>
              </w:rPr>
              <w:t>1 724 981 090</w:t>
            </w:r>
          </w:p>
        </w:tc>
        <w:tc>
          <w:tcPr>
            <w:tcW w:w="1701" w:type="dxa"/>
            <w:noWrap/>
            <w:hideMark/>
          </w:tcPr>
          <w:p w14:paraId="5B7809E1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8A75C0">
              <w:rPr>
                <w:b/>
                <w:bCs/>
                <w:color w:val="000000" w:themeColor="text1"/>
                <w:szCs w:val="32"/>
              </w:rPr>
              <w:t xml:space="preserve">600 048 539 </w:t>
            </w:r>
          </w:p>
        </w:tc>
        <w:tc>
          <w:tcPr>
            <w:tcW w:w="1574" w:type="dxa"/>
            <w:noWrap/>
            <w:hideMark/>
          </w:tcPr>
          <w:p w14:paraId="271FF154" w14:textId="77777777" w:rsidR="008A75C0" w:rsidRPr="008A75C0" w:rsidRDefault="008A75C0" w:rsidP="008A75C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>
              <w:rPr>
                <w:b/>
                <w:bCs/>
                <w:color w:val="000000" w:themeColor="text1"/>
                <w:szCs w:val="32"/>
              </w:rPr>
              <w:t>629 296 443</w:t>
            </w:r>
          </w:p>
        </w:tc>
        <w:tc>
          <w:tcPr>
            <w:tcW w:w="1828" w:type="dxa"/>
            <w:hideMark/>
          </w:tcPr>
          <w:p w14:paraId="0F79EF45" w14:textId="77777777" w:rsidR="008A75C0" w:rsidRPr="008A75C0" w:rsidRDefault="008A75C0" w:rsidP="008A75C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 w:themeColor="text1"/>
                <w:szCs w:val="32"/>
              </w:rPr>
            </w:pPr>
            <w:r w:rsidRPr="008A75C0">
              <w:rPr>
                <w:b/>
                <w:bCs/>
                <w:color w:val="000000" w:themeColor="text1"/>
                <w:szCs w:val="32"/>
              </w:rPr>
              <w:t>104,87%</w:t>
            </w:r>
          </w:p>
        </w:tc>
      </w:tr>
    </w:tbl>
    <w:p w14:paraId="5ED7E4E0" w14:textId="77777777" w:rsidR="008A75C0" w:rsidRDefault="008A75C0" w:rsidP="00276BE3">
      <w:pPr>
        <w:spacing w:after="0" w:line="240" w:lineRule="auto"/>
        <w:rPr>
          <w:color w:val="000000" w:themeColor="text1"/>
          <w:szCs w:val="32"/>
        </w:rPr>
      </w:pPr>
    </w:p>
    <w:p w14:paraId="1B746043" w14:textId="073A2A05" w:rsidR="002324F7" w:rsidRDefault="002324F7" w:rsidP="002324F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629,30 mil. EUR, pričom plán bol zakontrahovať 600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104,87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 V rámci jednotlivých fondov má najvyššie plnenie KF, ktorý dosahuje plnenie až na úrovni 149,70 %. Podpriemerné plnenie má EFRR v rámci viac rozvinutého regiónu, kd</w:t>
      </w:r>
      <w:r w:rsidR="00D30E64">
        <w:rPr>
          <w:rFonts w:cstheme="minorHAnsi"/>
          <w:color w:val="000000" w:themeColor="text1"/>
          <w:szCs w:val="32"/>
        </w:rPr>
        <w:t>e je plnenie na úrovni 29,50 %.</w:t>
      </w:r>
    </w:p>
    <w:p w14:paraId="6B1B33D6" w14:textId="77777777" w:rsidR="00276BE3" w:rsidRDefault="000904F2" w:rsidP="009E3F1A">
      <w:pPr>
        <w:pStyle w:val="Nadpis2"/>
        <w:rPr>
          <w:rFonts w:eastAsiaTheme="minorHAnsi" w:cstheme="minorBidi"/>
        </w:rPr>
      </w:pPr>
      <w:bookmarkStart w:id="16" w:name="_Toc193446282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276BE3" w:rsidRPr="00276BE3">
        <w:rPr>
          <w:rFonts w:eastAsiaTheme="minorHAnsi" w:cstheme="minorBidi"/>
        </w:rPr>
        <w:t>MH SR</w:t>
      </w:r>
      <w:bookmarkEnd w:id="16"/>
    </w:p>
    <w:p w14:paraId="0DA09919" w14:textId="77777777" w:rsidR="00276BE3" w:rsidRPr="00276BE3" w:rsidRDefault="00276BE3" w:rsidP="00276BE3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10</w:t>
      </w:r>
      <w:r w:rsidRPr="00E738D3">
        <w:rPr>
          <w:color w:val="000000" w:themeColor="text1"/>
          <w:szCs w:val="32"/>
        </w:rPr>
        <w:t xml:space="preserve"> Prehľad plnenia Investičných plánov </w:t>
      </w:r>
      <w:r>
        <w:rPr>
          <w:color w:val="000000" w:themeColor="text1"/>
          <w:szCs w:val="32"/>
        </w:rPr>
        <w:t>MH</w:t>
      </w:r>
      <w:r w:rsidRPr="00574B33">
        <w:rPr>
          <w:color w:val="000000" w:themeColor="text1"/>
          <w:szCs w:val="32"/>
        </w:rPr>
        <w:t xml:space="preserve">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257"/>
        <w:gridCol w:w="1137"/>
        <w:gridCol w:w="1566"/>
        <w:gridCol w:w="1567"/>
        <w:gridCol w:w="1703"/>
        <w:gridCol w:w="1842"/>
      </w:tblGrid>
      <w:tr w:rsidR="00FB7ED6" w:rsidRPr="00276BE3" w14:paraId="3010550A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7" w:type="dxa"/>
            <w:vAlign w:val="center"/>
            <w:hideMark/>
          </w:tcPr>
          <w:p w14:paraId="651E0D66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137" w:type="dxa"/>
            <w:vAlign w:val="center"/>
            <w:hideMark/>
          </w:tcPr>
          <w:p w14:paraId="4CF50088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566" w:type="dxa"/>
            <w:vAlign w:val="center"/>
            <w:hideMark/>
          </w:tcPr>
          <w:p w14:paraId="6E22529F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7" w:type="dxa"/>
            <w:vAlign w:val="center"/>
            <w:hideMark/>
          </w:tcPr>
          <w:p w14:paraId="35C88936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703" w:type="dxa"/>
            <w:vAlign w:val="center"/>
            <w:hideMark/>
          </w:tcPr>
          <w:p w14:paraId="6944A260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842" w:type="dxa"/>
            <w:vAlign w:val="center"/>
            <w:hideMark/>
          </w:tcPr>
          <w:p w14:paraId="09161AD7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FB7ED6" w:rsidRPr="00276BE3" w14:paraId="19518BA4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7" w:type="dxa"/>
            <w:noWrap/>
            <w:vAlign w:val="center"/>
            <w:hideMark/>
          </w:tcPr>
          <w:p w14:paraId="7D9B3D8A" w14:textId="77777777" w:rsidR="00276BE3" w:rsidRPr="00FB7ED6" w:rsidRDefault="00276BE3" w:rsidP="00276BE3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7" w:type="dxa"/>
            <w:noWrap/>
            <w:vAlign w:val="center"/>
            <w:hideMark/>
          </w:tcPr>
          <w:p w14:paraId="4794E054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66" w:type="dxa"/>
            <w:noWrap/>
            <w:vAlign w:val="center"/>
            <w:hideMark/>
          </w:tcPr>
          <w:p w14:paraId="356EC079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52 146 799</w:t>
            </w:r>
          </w:p>
        </w:tc>
        <w:tc>
          <w:tcPr>
            <w:tcW w:w="1567" w:type="dxa"/>
            <w:noWrap/>
            <w:vAlign w:val="center"/>
            <w:hideMark/>
          </w:tcPr>
          <w:p w14:paraId="74DAA025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26 073 400</w:t>
            </w:r>
          </w:p>
        </w:tc>
        <w:tc>
          <w:tcPr>
            <w:tcW w:w="1703" w:type="dxa"/>
            <w:noWrap/>
            <w:vAlign w:val="center"/>
            <w:hideMark/>
          </w:tcPr>
          <w:p w14:paraId="023EA282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3 426 764</w:t>
            </w:r>
          </w:p>
        </w:tc>
        <w:tc>
          <w:tcPr>
            <w:tcW w:w="1842" w:type="dxa"/>
            <w:vAlign w:val="center"/>
            <w:hideMark/>
          </w:tcPr>
          <w:p w14:paraId="37ECFA77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51,50%</w:t>
            </w:r>
          </w:p>
        </w:tc>
      </w:tr>
      <w:tr w:rsidR="00FB7ED6" w:rsidRPr="00276BE3" w14:paraId="70F8FF75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7" w:type="dxa"/>
            <w:noWrap/>
            <w:vAlign w:val="center"/>
            <w:hideMark/>
          </w:tcPr>
          <w:p w14:paraId="6866C5FA" w14:textId="77777777" w:rsidR="00276BE3" w:rsidRPr="00FB7ED6" w:rsidRDefault="00276BE3" w:rsidP="00276BE3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37" w:type="dxa"/>
            <w:noWrap/>
            <w:vAlign w:val="center"/>
            <w:hideMark/>
          </w:tcPr>
          <w:p w14:paraId="49C5F8E3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6" w:type="dxa"/>
            <w:noWrap/>
            <w:vAlign w:val="center"/>
            <w:hideMark/>
          </w:tcPr>
          <w:p w14:paraId="4AE9F9FA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443 241 755</w:t>
            </w:r>
          </w:p>
        </w:tc>
        <w:tc>
          <w:tcPr>
            <w:tcW w:w="1567" w:type="dxa"/>
            <w:noWrap/>
            <w:vAlign w:val="center"/>
            <w:hideMark/>
          </w:tcPr>
          <w:p w14:paraId="0D27B9AD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221 620 878</w:t>
            </w:r>
          </w:p>
        </w:tc>
        <w:tc>
          <w:tcPr>
            <w:tcW w:w="1703" w:type="dxa"/>
            <w:noWrap/>
            <w:vAlign w:val="center"/>
            <w:hideMark/>
          </w:tcPr>
          <w:p w14:paraId="480ACAC2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237 793 377</w:t>
            </w:r>
          </w:p>
        </w:tc>
        <w:tc>
          <w:tcPr>
            <w:tcW w:w="1842" w:type="dxa"/>
            <w:vAlign w:val="center"/>
            <w:hideMark/>
          </w:tcPr>
          <w:p w14:paraId="6111550F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107,30%</w:t>
            </w:r>
          </w:p>
        </w:tc>
      </w:tr>
      <w:tr w:rsidR="00FB7ED6" w:rsidRPr="00276BE3" w14:paraId="76396A13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7" w:type="dxa"/>
            <w:noWrap/>
            <w:vAlign w:val="center"/>
            <w:hideMark/>
          </w:tcPr>
          <w:p w14:paraId="1B6D11A2" w14:textId="77777777" w:rsidR="00276BE3" w:rsidRPr="00FB7ED6" w:rsidRDefault="00276BE3" w:rsidP="00276BE3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FST</w:t>
            </w:r>
          </w:p>
        </w:tc>
        <w:tc>
          <w:tcPr>
            <w:tcW w:w="1137" w:type="dxa"/>
            <w:noWrap/>
            <w:vAlign w:val="center"/>
            <w:hideMark/>
          </w:tcPr>
          <w:p w14:paraId="424A3D82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6" w:type="dxa"/>
            <w:noWrap/>
            <w:vAlign w:val="center"/>
            <w:hideMark/>
          </w:tcPr>
          <w:p w14:paraId="35266CE8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131 541 420</w:t>
            </w:r>
          </w:p>
        </w:tc>
        <w:tc>
          <w:tcPr>
            <w:tcW w:w="1567" w:type="dxa"/>
            <w:noWrap/>
            <w:vAlign w:val="center"/>
            <w:hideMark/>
          </w:tcPr>
          <w:p w14:paraId="1E2CE177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94 102 377</w:t>
            </w:r>
          </w:p>
        </w:tc>
        <w:tc>
          <w:tcPr>
            <w:tcW w:w="1703" w:type="dxa"/>
            <w:noWrap/>
            <w:vAlign w:val="center"/>
            <w:hideMark/>
          </w:tcPr>
          <w:p w14:paraId="3AD25C43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39 915 600</w:t>
            </w:r>
          </w:p>
        </w:tc>
        <w:tc>
          <w:tcPr>
            <w:tcW w:w="1842" w:type="dxa"/>
            <w:vAlign w:val="center"/>
            <w:hideMark/>
          </w:tcPr>
          <w:p w14:paraId="332A3B80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42,42%</w:t>
            </w:r>
          </w:p>
        </w:tc>
      </w:tr>
      <w:tr w:rsidR="00FB7ED6" w:rsidRPr="00276BE3" w14:paraId="29E15BC6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4" w:type="dxa"/>
            <w:gridSpan w:val="2"/>
            <w:noWrap/>
            <w:vAlign w:val="center"/>
            <w:hideMark/>
          </w:tcPr>
          <w:p w14:paraId="13A74D2C" w14:textId="77777777" w:rsidR="00276BE3" w:rsidRPr="00276BE3" w:rsidRDefault="00276BE3" w:rsidP="00276BE3">
            <w:pPr>
              <w:pStyle w:val="paragraph"/>
              <w:spacing w:before="120" w:after="120"/>
              <w:jc w:val="both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566" w:type="dxa"/>
            <w:noWrap/>
            <w:vAlign w:val="center"/>
            <w:hideMark/>
          </w:tcPr>
          <w:p w14:paraId="1448449D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626 929 974</w:t>
            </w:r>
          </w:p>
        </w:tc>
        <w:tc>
          <w:tcPr>
            <w:tcW w:w="1567" w:type="dxa"/>
            <w:noWrap/>
            <w:vAlign w:val="center"/>
            <w:hideMark/>
          </w:tcPr>
          <w:p w14:paraId="337CF448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341 796 655</w:t>
            </w:r>
          </w:p>
        </w:tc>
        <w:tc>
          <w:tcPr>
            <w:tcW w:w="1703" w:type="dxa"/>
            <w:noWrap/>
            <w:vAlign w:val="center"/>
            <w:hideMark/>
          </w:tcPr>
          <w:p w14:paraId="5BB43F4D" w14:textId="77777777" w:rsidR="00276BE3" w:rsidRPr="00276BE3" w:rsidRDefault="00276BE3" w:rsidP="00276BE3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291 135 741</w:t>
            </w:r>
          </w:p>
        </w:tc>
        <w:tc>
          <w:tcPr>
            <w:tcW w:w="1842" w:type="dxa"/>
            <w:vAlign w:val="center"/>
            <w:hideMark/>
          </w:tcPr>
          <w:p w14:paraId="2CED6250" w14:textId="77777777" w:rsidR="00276BE3" w:rsidRPr="00276BE3" w:rsidRDefault="00276BE3" w:rsidP="00276BE3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276BE3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85,18%</w:t>
            </w:r>
          </w:p>
        </w:tc>
      </w:tr>
    </w:tbl>
    <w:p w14:paraId="458A840F" w14:textId="77777777" w:rsidR="00F51EB1" w:rsidRDefault="00F51EB1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DF91813" w14:textId="12735C51" w:rsidR="00F51EB1" w:rsidRDefault="00F51EB1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291,14 mil. EUR, pričom plán bol zakontrahovať 341,80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85,18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 V rámci jednotlivých fondov má najvyššie plnenie EFRR v rámci menej rozvinutého regiónu (107,30 %). Nižšie plnenie dosahuje EFRR v rámci viac rozvinutého regiónu (51,50 %) a FST, kd</w:t>
      </w:r>
      <w:r w:rsidR="00D30E64">
        <w:rPr>
          <w:rFonts w:cstheme="minorHAnsi"/>
          <w:color w:val="000000" w:themeColor="text1"/>
          <w:szCs w:val="32"/>
        </w:rPr>
        <w:t>e je plnenie na úrovni 42,42 %.</w:t>
      </w:r>
    </w:p>
    <w:p w14:paraId="2FDC9055" w14:textId="60606A51" w:rsidR="00013EE6" w:rsidRDefault="00013EE6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DDB8209" w14:textId="330A99C8" w:rsidR="00013EE6" w:rsidRDefault="00766916" w:rsidP="00564699">
      <w:pPr>
        <w:pStyle w:val="Nadpis3"/>
      </w:pPr>
      <w:bookmarkStart w:id="17" w:name="_Toc193446283"/>
      <w:r>
        <w:t>Dôvody</w:t>
      </w:r>
      <w:r w:rsidR="00013EE6">
        <w:t xml:space="preserve"> nenaplnenia Investičného plánu</w:t>
      </w:r>
      <w:bookmarkEnd w:id="17"/>
    </w:p>
    <w:p w14:paraId="4D16E08C" w14:textId="2CFE630B" w:rsidR="00E81101" w:rsidRDefault="00E81101" w:rsidP="00564699">
      <w:pPr>
        <w:jc w:val="both"/>
      </w:pPr>
      <w:r>
        <w:t>Hlavnou príčinou nenaplnenia investičného plánu bola skutočnosť, že v rámci 4 plánovaných fázovaných projektov</w:t>
      </w:r>
      <w:r w:rsidR="009F620B">
        <w:t xml:space="preserve"> s alokáciou viac ako </w:t>
      </w:r>
      <w:r w:rsidR="000C2256">
        <w:t>60</w:t>
      </w:r>
      <w:r w:rsidR="009F620B">
        <w:t xml:space="preserve"> mil. EUR</w:t>
      </w:r>
      <w:r>
        <w:t xml:space="preserve"> sa podarilo zakontrahovať len 1 s</w:t>
      </w:r>
      <w:r w:rsidR="00EE4562">
        <w:t> </w:t>
      </w:r>
      <w:r>
        <w:t>alokáciou</w:t>
      </w:r>
      <w:r w:rsidR="00EE4562">
        <w:br/>
      </w:r>
      <w:r>
        <w:t>15,4 mil. EUR</w:t>
      </w:r>
      <w:r w:rsidR="009F620B">
        <w:t xml:space="preserve">. Taktiež z vopred nepredvídateľných dôvodov nemohli byť zakontrahované predložené projekty v rámci vyhlásenej výzvy </w:t>
      </w:r>
      <w:r w:rsidR="009F620B" w:rsidRPr="009F620B">
        <w:t>PSK-MH-001-2023-DV-FST</w:t>
      </w:r>
      <w:r w:rsidR="009F620B">
        <w:t xml:space="preserve"> s alokáciou 36 013 000 EUR. </w:t>
      </w:r>
    </w:p>
    <w:p w14:paraId="31633845" w14:textId="77777777" w:rsidR="005F7FA6" w:rsidRPr="00564699" w:rsidRDefault="005F7FA6" w:rsidP="00564699">
      <w:pPr>
        <w:spacing w:before="100" w:beforeAutospacing="1" w:after="100" w:afterAutospacing="1" w:line="240" w:lineRule="auto"/>
        <w:jc w:val="both"/>
      </w:pPr>
      <w:r w:rsidRPr="00564699">
        <w:t>V prípade MH SR je možné považovať za jednu z hlavných príčin nenaplnenia investičného plánu aj postupný posun harmonogramu plánovaných výziev v každom kvartáli.</w:t>
      </w:r>
    </w:p>
    <w:p w14:paraId="46726FCE" w14:textId="77777777" w:rsidR="005F7FA6" w:rsidRPr="00564699" w:rsidRDefault="005F7FA6" w:rsidP="00564699">
      <w:pPr>
        <w:spacing w:before="100" w:beforeAutospacing="1" w:after="100" w:afterAutospacing="1" w:line="240" w:lineRule="auto"/>
        <w:jc w:val="both"/>
      </w:pPr>
      <w:r w:rsidRPr="00564699">
        <w:t>Ide o nasledovné výzvy:</w:t>
      </w:r>
    </w:p>
    <w:p w14:paraId="2F380947" w14:textId="2CD46AAA" w:rsidR="005F7FA6" w:rsidRPr="00564699" w:rsidRDefault="005F7FA6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564699">
        <w:t>Výzva zameraná na podporu projektov priemyselného výskumu a experimentálneho vývoja, kto</w:t>
      </w:r>
      <w:r w:rsidR="006E53F5" w:rsidRPr="006E53F5">
        <w:t>rá bola plánovaná na 2.</w:t>
      </w:r>
      <w:r w:rsidR="006E53F5">
        <w:t xml:space="preserve">Q </w:t>
      </w:r>
      <w:r w:rsidRPr="00564699">
        <w:t>2024 v objeme 70 mil. EUR, bola v skutočnosti vyhlásená až</w:t>
      </w:r>
      <w:r w:rsidR="00EE4562">
        <w:br/>
      </w:r>
      <w:r w:rsidRPr="00564699">
        <w:t xml:space="preserve">v 4. </w:t>
      </w:r>
      <w:r w:rsidR="006E53F5">
        <w:t>Q</w:t>
      </w:r>
      <w:r w:rsidRPr="00564699">
        <w:t xml:space="preserve"> 2024. Rozdelenie výzvy na dve časti (PSK-MH-010-2024-DV-EFRR v sume 24 mil. EUR</w:t>
      </w:r>
      <w:r w:rsidR="005647AB">
        <w:br/>
      </w:r>
      <w:r w:rsidRPr="00564699">
        <w:lastRenderedPageBreak/>
        <w:t>a PSK-MH-011-2024-DV-EFRR v sume 36 mil. EUR) bolo z dôvodu stanovenia dvoch rozdielnych spôsobov vykazovania výdavkov.</w:t>
      </w:r>
    </w:p>
    <w:p w14:paraId="13C8C1A9" w14:textId="546E3773" w:rsidR="005F7FA6" w:rsidRPr="00564699" w:rsidRDefault="005F7FA6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564699">
        <w:t>Výzva zameraná na podporu internacionalizácie MSP 2 (NP SARIO), kt</w:t>
      </w:r>
      <w:r w:rsidR="006E53F5">
        <w:t>orá bola plánovaná na</w:t>
      </w:r>
      <w:r w:rsidR="00EE4562">
        <w:br/>
      </w:r>
      <w:r w:rsidR="006E53F5">
        <w:t>2</w:t>
      </w:r>
      <w:r w:rsidR="00EE4562">
        <w:t xml:space="preserve">. </w:t>
      </w:r>
      <w:r w:rsidR="006E53F5">
        <w:t xml:space="preserve">Q </w:t>
      </w:r>
      <w:r w:rsidRPr="00564699">
        <w:t xml:space="preserve"> 2024, bola vyhlásená 9. júla 2024 v nižšej sume 9 mil. EUR (PSK-MH-004-2024-NP-EFRR).</w:t>
      </w:r>
    </w:p>
    <w:p w14:paraId="17BA3435" w14:textId="29AE0BBF" w:rsidR="005F7FA6" w:rsidRPr="00564699" w:rsidRDefault="005F7FA6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564699">
        <w:t>Výzva zameraná na podporu projektov priemyselného výskumu a experimentálneho vývoja (FST), kt</w:t>
      </w:r>
      <w:r w:rsidR="006E53F5" w:rsidRPr="006E53F5">
        <w:t xml:space="preserve">orá bola plánovaná na 2. </w:t>
      </w:r>
      <w:r w:rsidR="006E53F5">
        <w:t>Q</w:t>
      </w:r>
      <w:r w:rsidRPr="00564699">
        <w:t xml:space="preserve"> 2024, bola </w:t>
      </w:r>
      <w:r w:rsidR="006E53F5" w:rsidRPr="006E53F5">
        <w:t>nakoniec vyhlásená v 4.</w:t>
      </w:r>
      <w:r w:rsidR="006E53F5">
        <w:t xml:space="preserve"> Q</w:t>
      </w:r>
      <w:r w:rsidRPr="00564699">
        <w:t xml:space="preserve"> 2024 v plánovanej alokácii 17 327 582 EUR (PSK-MH-009-2024-DV-FST).</w:t>
      </w:r>
    </w:p>
    <w:p w14:paraId="5D71977D" w14:textId="0FC4A4D9" w:rsidR="005F7FA6" w:rsidRPr="00564699" w:rsidRDefault="005F7FA6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564699">
        <w:t>Výzva zameraná na podporu Štátneho parku Handlová (NP MH Invest) v plánovanej sume</w:t>
      </w:r>
      <w:r w:rsidR="006E53F5">
        <w:br/>
      </w:r>
      <w:r w:rsidRPr="00564699">
        <w:t xml:space="preserve"> 15 038 285 EUR z FST, k</w:t>
      </w:r>
      <w:r w:rsidR="006E53F5" w:rsidRPr="006E53F5">
        <w:t>torá bola plánovaná na 2.</w:t>
      </w:r>
      <w:r w:rsidR="006E53F5">
        <w:t xml:space="preserve"> Q</w:t>
      </w:r>
      <w:r w:rsidRPr="00564699">
        <w:t xml:space="preserve"> 2024</w:t>
      </w:r>
      <w:r w:rsidR="006E53F5" w:rsidRPr="006E53F5">
        <w:t>, bola vyhlásená až v 4.</w:t>
      </w:r>
      <w:r w:rsidR="00EE4562">
        <w:t xml:space="preserve"> </w:t>
      </w:r>
      <w:r w:rsidR="006E53F5">
        <w:t>Q</w:t>
      </w:r>
      <w:r w:rsidR="00EE4562">
        <w:t xml:space="preserve"> 2024</w:t>
      </w:r>
      <w:r w:rsidRPr="00564699">
        <w:t>.</w:t>
      </w:r>
    </w:p>
    <w:p w14:paraId="69CD8620" w14:textId="519EA2E5" w:rsidR="005F7FA6" w:rsidRPr="00564699" w:rsidRDefault="005F7FA6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564699">
        <w:t>Výzvy zamerané na podporu sieťovania podnikov, kt</w:t>
      </w:r>
      <w:r w:rsidR="006E53F5" w:rsidRPr="006E53F5">
        <w:t>oré boli plánované na 2.</w:t>
      </w:r>
      <w:r w:rsidR="006E53F5">
        <w:t xml:space="preserve"> Q</w:t>
      </w:r>
      <w:r w:rsidR="00EE4562">
        <w:t xml:space="preserve"> 2024 (jedna pre menej rozvinutý región</w:t>
      </w:r>
      <w:r w:rsidRPr="00564699">
        <w:t xml:space="preserve"> v sume 2 600 000 EUR a druhá pre </w:t>
      </w:r>
      <w:r w:rsidR="00EE4562">
        <w:t>viac rozvinutý región</w:t>
      </w:r>
      <w:r w:rsidRPr="00564699">
        <w:t xml:space="preserve"> v</w:t>
      </w:r>
      <w:r w:rsidR="006C1923">
        <w:t> </w:t>
      </w:r>
      <w:r w:rsidRPr="00564699">
        <w:t>sume</w:t>
      </w:r>
      <w:r w:rsidR="006C1923">
        <w:br/>
      </w:r>
      <w:r w:rsidRPr="00564699">
        <w:t xml:space="preserve">1 400 000 EUR), boli presunuté do harmonogramu </w:t>
      </w:r>
      <w:r w:rsidR="006E53F5">
        <w:t>výziev na rok 2025 v 2. Q</w:t>
      </w:r>
      <w:r w:rsidRPr="00564699">
        <w:t>.</w:t>
      </w:r>
    </w:p>
    <w:p w14:paraId="0C9F732A" w14:textId="33122BCE" w:rsidR="005F7FA6" w:rsidRPr="00564699" w:rsidRDefault="006E53F5" w:rsidP="0056469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</w:pPr>
      <w:r w:rsidRPr="006E53F5">
        <w:t xml:space="preserve">Plánovaná výzva </w:t>
      </w:r>
      <w:r>
        <w:t>na 2. Q</w:t>
      </w:r>
      <w:r w:rsidR="005F7FA6" w:rsidRPr="00564699">
        <w:t xml:space="preserve"> 2024 zameraná na horizontálnu podporu MSP (NP SBA) v plánovanej sume 8 923 200 EUR bola nako</w:t>
      </w:r>
      <w:r w:rsidRPr="006E53F5">
        <w:t>niec vyhlásená v</w:t>
      </w:r>
      <w:r>
        <w:t> </w:t>
      </w:r>
      <w:r w:rsidRPr="006E53F5">
        <w:t>3</w:t>
      </w:r>
      <w:r>
        <w:t xml:space="preserve">. Q </w:t>
      </w:r>
      <w:r w:rsidR="005F7FA6" w:rsidRPr="00564699">
        <w:t>2024</w:t>
      </w:r>
      <w:r w:rsidRPr="006E53F5">
        <w:t xml:space="preserve"> (PSK-MH-007-2024-NP-EFRR)</w:t>
      </w:r>
      <w:r w:rsidR="00564699">
        <w:br/>
      </w:r>
      <w:r w:rsidRPr="006E53F5">
        <w:t>v zn</w:t>
      </w:r>
      <w:r>
        <w:t>í</w:t>
      </w:r>
      <w:r w:rsidR="005F7FA6" w:rsidRPr="00564699">
        <w:t>ženej sume 5 mil. EUR.</w:t>
      </w:r>
    </w:p>
    <w:p w14:paraId="71012E61" w14:textId="77777777" w:rsidR="00FB7ED6" w:rsidRDefault="000904F2" w:rsidP="009E3F1A">
      <w:pPr>
        <w:pStyle w:val="Nadpis2"/>
        <w:rPr>
          <w:rFonts w:eastAsiaTheme="minorHAnsi" w:cstheme="minorBidi"/>
        </w:rPr>
      </w:pPr>
      <w:bookmarkStart w:id="18" w:name="_Toc193446284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FB7ED6" w:rsidRPr="00FB7ED6">
        <w:rPr>
          <w:rFonts w:eastAsiaTheme="minorHAnsi" w:cstheme="minorBidi"/>
        </w:rPr>
        <w:t>SIEA</w:t>
      </w:r>
      <w:bookmarkEnd w:id="18"/>
    </w:p>
    <w:p w14:paraId="555D2AFC" w14:textId="77777777" w:rsidR="00FB7ED6" w:rsidRPr="00276BE3" w:rsidRDefault="00FB7ED6" w:rsidP="00FB7ED6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11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>ľad plnenia Investičných plánov SIEA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129"/>
        <w:gridCol w:w="1274"/>
        <w:gridCol w:w="1418"/>
        <w:gridCol w:w="1561"/>
        <w:gridCol w:w="1843"/>
        <w:gridCol w:w="1837"/>
      </w:tblGrid>
      <w:tr w:rsidR="00FB7ED6" w:rsidRPr="00FB7ED6" w14:paraId="6A5E07B6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vAlign w:val="center"/>
            <w:hideMark/>
          </w:tcPr>
          <w:p w14:paraId="7246E72D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274" w:type="dxa"/>
            <w:vAlign w:val="center"/>
            <w:hideMark/>
          </w:tcPr>
          <w:p w14:paraId="251F9D30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418" w:type="dxa"/>
            <w:vAlign w:val="center"/>
            <w:hideMark/>
          </w:tcPr>
          <w:p w14:paraId="48DE0D62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1" w:type="dxa"/>
            <w:vAlign w:val="center"/>
            <w:hideMark/>
          </w:tcPr>
          <w:p w14:paraId="09B4455E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843" w:type="dxa"/>
            <w:vAlign w:val="center"/>
            <w:hideMark/>
          </w:tcPr>
          <w:p w14:paraId="63D5D5AD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837" w:type="dxa"/>
            <w:vAlign w:val="center"/>
            <w:hideMark/>
          </w:tcPr>
          <w:p w14:paraId="1D734656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FB7ED6" w:rsidRPr="00FB7ED6" w14:paraId="258E5D6D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noWrap/>
            <w:vAlign w:val="center"/>
            <w:hideMark/>
          </w:tcPr>
          <w:p w14:paraId="345AD358" w14:textId="77777777" w:rsidR="00FB7ED6" w:rsidRPr="00011EF0" w:rsidRDefault="00FB7ED6" w:rsidP="00FB7ED6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274" w:type="dxa"/>
            <w:noWrap/>
            <w:vAlign w:val="center"/>
            <w:hideMark/>
          </w:tcPr>
          <w:p w14:paraId="1B6AA4F9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418" w:type="dxa"/>
            <w:noWrap/>
            <w:vAlign w:val="center"/>
            <w:hideMark/>
          </w:tcPr>
          <w:p w14:paraId="65479B4D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182 094 825</w:t>
            </w:r>
          </w:p>
        </w:tc>
        <w:tc>
          <w:tcPr>
            <w:tcW w:w="1561" w:type="dxa"/>
            <w:noWrap/>
            <w:vAlign w:val="center"/>
            <w:hideMark/>
          </w:tcPr>
          <w:p w14:paraId="071DD7AE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91 047 413 </w:t>
            </w:r>
          </w:p>
        </w:tc>
        <w:tc>
          <w:tcPr>
            <w:tcW w:w="1843" w:type="dxa"/>
            <w:noWrap/>
            <w:vAlign w:val="center"/>
            <w:hideMark/>
          </w:tcPr>
          <w:p w14:paraId="1EE7E79C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57 573 861 </w:t>
            </w:r>
          </w:p>
        </w:tc>
        <w:tc>
          <w:tcPr>
            <w:tcW w:w="1837" w:type="dxa"/>
            <w:vAlign w:val="center"/>
            <w:hideMark/>
          </w:tcPr>
          <w:p w14:paraId="41AD0465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63,24%</w:t>
            </w:r>
          </w:p>
        </w:tc>
      </w:tr>
      <w:tr w:rsidR="00FB7ED6" w:rsidRPr="00FB7ED6" w14:paraId="2ABC212C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noWrap/>
            <w:vAlign w:val="center"/>
            <w:hideMark/>
          </w:tcPr>
          <w:p w14:paraId="61A2E40E" w14:textId="77777777" w:rsidR="00FB7ED6" w:rsidRPr="00011EF0" w:rsidRDefault="00FB7ED6" w:rsidP="00FB7ED6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274" w:type="dxa"/>
            <w:noWrap/>
            <w:vAlign w:val="center"/>
            <w:hideMark/>
          </w:tcPr>
          <w:p w14:paraId="4113D589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418" w:type="dxa"/>
            <w:noWrap/>
            <w:vAlign w:val="center"/>
            <w:hideMark/>
          </w:tcPr>
          <w:p w14:paraId="30F3CA8D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680 806 065</w:t>
            </w:r>
          </w:p>
        </w:tc>
        <w:tc>
          <w:tcPr>
            <w:tcW w:w="1561" w:type="dxa"/>
            <w:noWrap/>
            <w:vAlign w:val="center"/>
            <w:hideMark/>
          </w:tcPr>
          <w:p w14:paraId="13AE5EA3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340 403 033 </w:t>
            </w:r>
          </w:p>
        </w:tc>
        <w:tc>
          <w:tcPr>
            <w:tcW w:w="1843" w:type="dxa"/>
            <w:noWrap/>
            <w:vAlign w:val="center"/>
            <w:hideMark/>
          </w:tcPr>
          <w:p w14:paraId="23715DC5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324 255 330 </w:t>
            </w:r>
          </w:p>
        </w:tc>
        <w:tc>
          <w:tcPr>
            <w:tcW w:w="1837" w:type="dxa"/>
            <w:vAlign w:val="center"/>
            <w:hideMark/>
          </w:tcPr>
          <w:p w14:paraId="4F271E24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95,26%</w:t>
            </w:r>
          </w:p>
        </w:tc>
      </w:tr>
      <w:tr w:rsidR="00FB7ED6" w:rsidRPr="00FB7ED6" w14:paraId="487A5D6B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noWrap/>
            <w:vAlign w:val="center"/>
            <w:hideMark/>
          </w:tcPr>
          <w:p w14:paraId="0E516383" w14:textId="77777777" w:rsidR="00FB7ED6" w:rsidRPr="00011EF0" w:rsidRDefault="00FB7ED6" w:rsidP="00FB7ED6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FST</w:t>
            </w:r>
          </w:p>
        </w:tc>
        <w:tc>
          <w:tcPr>
            <w:tcW w:w="1274" w:type="dxa"/>
            <w:noWrap/>
            <w:vAlign w:val="center"/>
            <w:hideMark/>
          </w:tcPr>
          <w:p w14:paraId="636359DA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418" w:type="dxa"/>
            <w:noWrap/>
            <w:vAlign w:val="center"/>
            <w:hideMark/>
          </w:tcPr>
          <w:p w14:paraId="757AE20C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42 328 201</w:t>
            </w:r>
          </w:p>
        </w:tc>
        <w:tc>
          <w:tcPr>
            <w:tcW w:w="1561" w:type="dxa"/>
            <w:noWrap/>
            <w:vAlign w:val="center"/>
            <w:hideMark/>
          </w:tcPr>
          <w:p w14:paraId="063EEF1B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30 280 838 </w:t>
            </w:r>
          </w:p>
        </w:tc>
        <w:tc>
          <w:tcPr>
            <w:tcW w:w="1843" w:type="dxa"/>
            <w:noWrap/>
            <w:vAlign w:val="center"/>
            <w:hideMark/>
          </w:tcPr>
          <w:p w14:paraId="3767A551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 -   </w:t>
            </w:r>
          </w:p>
        </w:tc>
        <w:tc>
          <w:tcPr>
            <w:tcW w:w="1837" w:type="dxa"/>
            <w:vAlign w:val="center"/>
            <w:hideMark/>
          </w:tcPr>
          <w:p w14:paraId="1E3DEB58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0,00%</w:t>
            </w:r>
          </w:p>
        </w:tc>
      </w:tr>
      <w:tr w:rsidR="00FB7ED6" w:rsidRPr="00FB7ED6" w14:paraId="08285CFD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gridSpan w:val="2"/>
            <w:noWrap/>
            <w:vAlign w:val="center"/>
            <w:hideMark/>
          </w:tcPr>
          <w:p w14:paraId="195EB288" w14:textId="77777777" w:rsidR="00FB7ED6" w:rsidRPr="00FB7ED6" w:rsidRDefault="00FB7ED6" w:rsidP="00FB7ED6">
            <w:pPr>
              <w:pStyle w:val="paragraph"/>
              <w:spacing w:before="120" w:after="120"/>
              <w:jc w:val="both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418" w:type="dxa"/>
            <w:noWrap/>
            <w:vAlign w:val="center"/>
            <w:hideMark/>
          </w:tcPr>
          <w:p w14:paraId="60F3CB05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905 229 091</w:t>
            </w:r>
          </w:p>
        </w:tc>
        <w:tc>
          <w:tcPr>
            <w:tcW w:w="1561" w:type="dxa"/>
            <w:noWrap/>
            <w:vAlign w:val="center"/>
            <w:hideMark/>
          </w:tcPr>
          <w:p w14:paraId="03C060D4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461 731 284 </w:t>
            </w:r>
          </w:p>
        </w:tc>
        <w:tc>
          <w:tcPr>
            <w:tcW w:w="1843" w:type="dxa"/>
            <w:noWrap/>
            <w:vAlign w:val="center"/>
            <w:hideMark/>
          </w:tcPr>
          <w:p w14:paraId="064F489C" w14:textId="77777777" w:rsidR="00FB7ED6" w:rsidRPr="00FB7ED6" w:rsidRDefault="00FB7ED6" w:rsidP="00FB7ED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 381 829 192 </w:t>
            </w:r>
          </w:p>
        </w:tc>
        <w:tc>
          <w:tcPr>
            <w:tcW w:w="1837" w:type="dxa"/>
            <w:vAlign w:val="center"/>
            <w:hideMark/>
          </w:tcPr>
          <w:p w14:paraId="2AA146DD" w14:textId="77777777" w:rsidR="00FB7ED6" w:rsidRPr="00FB7ED6" w:rsidRDefault="00FB7ED6" w:rsidP="00FB7ED6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FB7E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82,70%</w:t>
            </w:r>
          </w:p>
        </w:tc>
      </w:tr>
    </w:tbl>
    <w:p w14:paraId="0F83FB14" w14:textId="77777777" w:rsidR="00F51EB1" w:rsidRDefault="00F51EB1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36936505" w14:textId="77777777" w:rsidR="00F15061" w:rsidRDefault="00F51EB1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381,83 mil. EUR, pričom plán bol zakontrahovať 461,73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82,70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 V rámci jednotlivých fondov má najvyššie plnenie EFRR v rámci menej rozvinutého regiónu (95,26 %). Nižšie plnenie dosahuje EFRR v rámci viac rozvinutého regiónu (63,24 %) a FST, kde je nulové plnenie.</w:t>
      </w:r>
    </w:p>
    <w:p w14:paraId="55FB4A65" w14:textId="77777777" w:rsidR="00F15061" w:rsidRDefault="00F15061" w:rsidP="00F51EB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4425B036" w14:textId="2F168CE8" w:rsidR="00A32F34" w:rsidRDefault="00902872" w:rsidP="00564699">
      <w:pPr>
        <w:pStyle w:val="Nadpis3"/>
      </w:pPr>
      <w:bookmarkStart w:id="19" w:name="_Toc193446285"/>
      <w:r>
        <w:t>Dôvody</w:t>
      </w:r>
      <w:r w:rsidR="00F15061" w:rsidRPr="00A32F34">
        <w:t xml:space="preserve"> nenaplnenia Investičného plánu</w:t>
      </w:r>
      <w:bookmarkEnd w:id="19"/>
    </w:p>
    <w:p w14:paraId="664BA5D5" w14:textId="77777777" w:rsidR="00F82205" w:rsidRPr="00564699" w:rsidRDefault="00F82205" w:rsidP="00564699">
      <w:pPr>
        <w:spacing w:before="100" w:beforeAutospacing="1" w:after="100" w:afterAutospacing="1" w:line="240" w:lineRule="auto"/>
        <w:jc w:val="both"/>
      </w:pPr>
      <w:r w:rsidRPr="00564699">
        <w:t>Príčinou nenaplnenia plánu kontrahovania je nezakontrahovanie dvoch národných projektov, ktoré boli predložené v januári 2024 v alokácii 44,6 mil. EUR. Zameranie týchto národných projektov bolo prehodnocované zo strany zriaďovateľa SIEA a MH SR.</w:t>
      </w:r>
    </w:p>
    <w:p w14:paraId="7F25DAC8" w14:textId="2F3BADB8" w:rsidR="00F82205" w:rsidRPr="00564699" w:rsidRDefault="00F82205" w:rsidP="00564699">
      <w:pPr>
        <w:spacing w:before="100" w:beforeAutospacing="1" w:after="100" w:afterAutospacing="1" w:line="240" w:lineRule="auto"/>
        <w:jc w:val="both"/>
      </w:pPr>
      <w:r w:rsidRPr="00564699">
        <w:t>Okrem toho nebola v roku 2024, napriek schváleniu zo strany RO, vyhlásená výzva na podporu energetickej efektívnosti a využívania obnoviteľných zdrojov energie (OZE) v podnikoch s</w:t>
      </w:r>
      <w:r w:rsidR="003A10FA">
        <w:t> </w:t>
      </w:r>
      <w:r w:rsidRPr="00564699">
        <w:t>alokáciou</w:t>
      </w:r>
      <w:r w:rsidR="003A10FA">
        <w:br/>
      </w:r>
      <w:r w:rsidRPr="00564699">
        <w:t>66 mil. EUR.</w:t>
      </w:r>
    </w:p>
    <w:p w14:paraId="00E00AFF" w14:textId="77777777" w:rsidR="00411B5E" w:rsidRDefault="00F82205" w:rsidP="00411B5E">
      <w:pPr>
        <w:spacing w:before="100" w:beforeAutospacing="1" w:after="100" w:afterAutospacing="1" w:line="240" w:lineRule="auto"/>
        <w:jc w:val="both"/>
      </w:pPr>
      <w:r w:rsidRPr="00564699">
        <w:t xml:space="preserve">V rámci FST bola prehodnocovaná stratégia využitia alokácií finančných nástrojov v gescii MH SR a SIEA. V dôsledku tohto prehodnocovania </w:t>
      </w:r>
      <w:r w:rsidR="00E4527A">
        <w:t>došlo k oneskoreniu a výzva bola vyhlásená až 27.</w:t>
      </w:r>
      <w:r w:rsidR="003A10FA">
        <w:t xml:space="preserve"> </w:t>
      </w:r>
      <w:r w:rsidR="00E4527A">
        <w:t>12.</w:t>
      </w:r>
      <w:r w:rsidRPr="00564699">
        <w:t xml:space="preserve"> 2024</w:t>
      </w:r>
      <w:r w:rsidR="00E9495C">
        <w:t xml:space="preserve"> a následne boli zakontrahované </w:t>
      </w:r>
      <w:r w:rsidRPr="00564699">
        <w:t>projekt</w:t>
      </w:r>
      <w:r w:rsidR="00E9495C">
        <w:t>y</w:t>
      </w:r>
      <w:r w:rsidRPr="00564699">
        <w:t xml:space="preserve"> pre finančné nástroje s alokáciou </w:t>
      </w:r>
      <w:r w:rsidR="00E4527A">
        <w:t>76</w:t>
      </w:r>
      <w:r w:rsidR="003A10FA">
        <w:t>,</w:t>
      </w:r>
      <w:r w:rsidR="00E4527A">
        <w:t>50</w:t>
      </w:r>
      <w:r w:rsidR="003A10FA">
        <w:t xml:space="preserve"> mil.</w:t>
      </w:r>
      <w:r w:rsidR="00E4527A">
        <w:t xml:space="preserve"> EUR</w:t>
      </w:r>
      <w:r w:rsidR="00E9495C">
        <w:t xml:space="preserve"> až v roku 2025</w:t>
      </w:r>
      <w:r w:rsidR="00E4527A">
        <w:t>.</w:t>
      </w:r>
      <w:bookmarkStart w:id="20" w:name="_Toc193207660"/>
    </w:p>
    <w:p w14:paraId="43F9D1A3" w14:textId="783769BA" w:rsidR="00F82205" w:rsidRPr="00E9495C" w:rsidRDefault="00F82205" w:rsidP="00411B5E">
      <w:pPr>
        <w:spacing w:before="100" w:beforeAutospacing="1" w:after="100" w:afterAutospacing="1" w:line="240" w:lineRule="auto"/>
        <w:jc w:val="both"/>
      </w:pPr>
      <w:r w:rsidRPr="00E9495C">
        <w:t>Zároveň bola výzva č. PSK-SIEA-007-2024-ITI-EFRR (Výzva na podporu energetickej efektívnosti využívania OZE vo verejných budovách) s alokáciou 148,04 mil. EUR vyhlásená až v januári 2025, hoci bola pôvodne plánovaná na 2. Q 2024.</w:t>
      </w:r>
      <w:bookmarkEnd w:id="20"/>
    </w:p>
    <w:p w14:paraId="35BFEBCE" w14:textId="77777777" w:rsidR="00011EF0" w:rsidRDefault="000904F2" w:rsidP="009E3F1A">
      <w:pPr>
        <w:pStyle w:val="Nadpis2"/>
        <w:rPr>
          <w:rFonts w:eastAsiaTheme="minorHAnsi" w:cstheme="minorBidi"/>
        </w:rPr>
      </w:pPr>
      <w:bookmarkStart w:id="21" w:name="_Toc193446286"/>
      <w:r w:rsidRPr="006F3E00">
        <w:lastRenderedPageBreak/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011EF0" w:rsidRPr="00011EF0">
        <w:rPr>
          <w:rFonts w:eastAsiaTheme="minorHAnsi" w:cstheme="minorBidi"/>
        </w:rPr>
        <w:t>MZ SR</w:t>
      </w:r>
      <w:bookmarkEnd w:id="21"/>
    </w:p>
    <w:p w14:paraId="1EC61E0C" w14:textId="77777777" w:rsidR="00011EF0" w:rsidRPr="00276BE3" w:rsidRDefault="00011EF0" w:rsidP="00011EF0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12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>ľad plnenia Investičných plánov MZ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094"/>
        <w:gridCol w:w="1156"/>
        <w:gridCol w:w="1568"/>
        <w:gridCol w:w="1567"/>
        <w:gridCol w:w="1703"/>
        <w:gridCol w:w="1984"/>
      </w:tblGrid>
      <w:tr w:rsidR="00011EF0" w:rsidRPr="00011EF0" w14:paraId="7932EC0F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vAlign w:val="center"/>
            <w:hideMark/>
          </w:tcPr>
          <w:p w14:paraId="317B6E87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156" w:type="dxa"/>
            <w:vAlign w:val="center"/>
            <w:hideMark/>
          </w:tcPr>
          <w:p w14:paraId="674C0569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568" w:type="dxa"/>
            <w:vAlign w:val="center"/>
            <w:hideMark/>
          </w:tcPr>
          <w:p w14:paraId="6A787B36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7" w:type="dxa"/>
            <w:vAlign w:val="center"/>
            <w:hideMark/>
          </w:tcPr>
          <w:p w14:paraId="2B1BC04D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703" w:type="dxa"/>
            <w:vAlign w:val="center"/>
            <w:hideMark/>
          </w:tcPr>
          <w:p w14:paraId="62AD2336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984" w:type="dxa"/>
            <w:vAlign w:val="center"/>
            <w:hideMark/>
          </w:tcPr>
          <w:p w14:paraId="272CB545" w14:textId="77777777" w:rsidR="00011EF0" w:rsidRPr="000C2486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</w:pPr>
            <w:r w:rsidRPr="000C2486">
              <w:rPr>
                <w:rFonts w:asciiTheme="minorHAnsi" w:hAnsiTheme="minorHAnsi" w:cstheme="minorHAnsi"/>
                <w:bCs w:val="0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011EF0" w:rsidRPr="00011EF0" w14:paraId="40FDED6F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noWrap/>
            <w:vAlign w:val="center"/>
            <w:hideMark/>
          </w:tcPr>
          <w:p w14:paraId="3196ED0B" w14:textId="77777777" w:rsidR="00011EF0" w:rsidRPr="000A1008" w:rsidRDefault="00011EF0" w:rsidP="00011EF0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56" w:type="dxa"/>
            <w:noWrap/>
            <w:vAlign w:val="center"/>
            <w:hideMark/>
          </w:tcPr>
          <w:p w14:paraId="06108090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68" w:type="dxa"/>
            <w:noWrap/>
            <w:vAlign w:val="center"/>
            <w:hideMark/>
          </w:tcPr>
          <w:p w14:paraId="4220C551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4 000 000 </w:t>
            </w:r>
          </w:p>
        </w:tc>
        <w:tc>
          <w:tcPr>
            <w:tcW w:w="1567" w:type="dxa"/>
            <w:noWrap/>
            <w:vAlign w:val="center"/>
            <w:hideMark/>
          </w:tcPr>
          <w:p w14:paraId="7E3E8652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1 400 000 </w:t>
            </w:r>
          </w:p>
        </w:tc>
        <w:tc>
          <w:tcPr>
            <w:tcW w:w="1703" w:type="dxa"/>
            <w:noWrap/>
            <w:vAlign w:val="center"/>
            <w:hideMark/>
          </w:tcPr>
          <w:p w14:paraId="3FB3E615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        -   </w:t>
            </w:r>
          </w:p>
        </w:tc>
        <w:tc>
          <w:tcPr>
            <w:tcW w:w="1984" w:type="dxa"/>
            <w:vAlign w:val="center"/>
            <w:hideMark/>
          </w:tcPr>
          <w:p w14:paraId="738E9BDA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0,00%</w:t>
            </w:r>
          </w:p>
        </w:tc>
      </w:tr>
      <w:tr w:rsidR="00011EF0" w:rsidRPr="00011EF0" w14:paraId="549FB641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noWrap/>
            <w:vAlign w:val="center"/>
            <w:hideMark/>
          </w:tcPr>
          <w:p w14:paraId="688AA33F" w14:textId="77777777" w:rsidR="00011EF0" w:rsidRPr="000A1008" w:rsidRDefault="00011EF0" w:rsidP="00011EF0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56" w:type="dxa"/>
            <w:noWrap/>
            <w:vAlign w:val="center"/>
            <w:hideMark/>
          </w:tcPr>
          <w:p w14:paraId="29A5A59E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8" w:type="dxa"/>
            <w:noWrap/>
            <w:vAlign w:val="center"/>
            <w:hideMark/>
          </w:tcPr>
          <w:p w14:paraId="52CF704B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296 493 976 </w:t>
            </w:r>
          </w:p>
        </w:tc>
        <w:tc>
          <w:tcPr>
            <w:tcW w:w="1567" w:type="dxa"/>
            <w:noWrap/>
            <w:vAlign w:val="center"/>
            <w:hideMark/>
          </w:tcPr>
          <w:p w14:paraId="7B13DB8A" w14:textId="77777777" w:rsidR="00011EF0" w:rsidRPr="00011EF0" w:rsidRDefault="000C2486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103 772 892</w:t>
            </w:r>
          </w:p>
        </w:tc>
        <w:tc>
          <w:tcPr>
            <w:tcW w:w="1703" w:type="dxa"/>
            <w:noWrap/>
            <w:vAlign w:val="center"/>
            <w:hideMark/>
          </w:tcPr>
          <w:p w14:paraId="43DA255C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        -   </w:t>
            </w:r>
          </w:p>
        </w:tc>
        <w:tc>
          <w:tcPr>
            <w:tcW w:w="1984" w:type="dxa"/>
            <w:vAlign w:val="center"/>
            <w:hideMark/>
          </w:tcPr>
          <w:p w14:paraId="22D80760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0,00%</w:t>
            </w:r>
          </w:p>
        </w:tc>
      </w:tr>
      <w:tr w:rsidR="00011EF0" w:rsidRPr="00011EF0" w14:paraId="77EFA19E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noWrap/>
            <w:vAlign w:val="center"/>
            <w:hideMark/>
          </w:tcPr>
          <w:p w14:paraId="0E1FC74A" w14:textId="77777777" w:rsidR="00011EF0" w:rsidRPr="000A1008" w:rsidRDefault="00011EF0" w:rsidP="00011EF0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156" w:type="dxa"/>
            <w:noWrap/>
            <w:vAlign w:val="center"/>
            <w:hideMark/>
          </w:tcPr>
          <w:p w14:paraId="742D1608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68" w:type="dxa"/>
            <w:noWrap/>
            <w:vAlign w:val="center"/>
            <w:hideMark/>
          </w:tcPr>
          <w:p w14:paraId="00B31AEF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  2 191 690 </w:t>
            </w:r>
          </w:p>
        </w:tc>
        <w:tc>
          <w:tcPr>
            <w:tcW w:w="1567" w:type="dxa"/>
            <w:noWrap/>
            <w:vAlign w:val="center"/>
            <w:hideMark/>
          </w:tcPr>
          <w:p w14:paraId="721CF732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767 092 </w:t>
            </w:r>
          </w:p>
        </w:tc>
        <w:tc>
          <w:tcPr>
            <w:tcW w:w="1703" w:type="dxa"/>
            <w:noWrap/>
            <w:vAlign w:val="center"/>
            <w:hideMark/>
          </w:tcPr>
          <w:p w14:paraId="5C443818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1 105 912 </w:t>
            </w:r>
          </w:p>
        </w:tc>
        <w:tc>
          <w:tcPr>
            <w:tcW w:w="1984" w:type="dxa"/>
            <w:vAlign w:val="center"/>
            <w:hideMark/>
          </w:tcPr>
          <w:p w14:paraId="4028CA8F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144,17%</w:t>
            </w:r>
          </w:p>
        </w:tc>
      </w:tr>
      <w:tr w:rsidR="00011EF0" w:rsidRPr="00011EF0" w14:paraId="25FE7D28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noWrap/>
            <w:vAlign w:val="center"/>
            <w:hideMark/>
          </w:tcPr>
          <w:p w14:paraId="3F182A27" w14:textId="77777777" w:rsidR="00011EF0" w:rsidRPr="000A1008" w:rsidRDefault="00011EF0" w:rsidP="00011EF0">
            <w:pPr>
              <w:pStyle w:val="paragraph"/>
              <w:spacing w:before="120" w:after="120"/>
              <w:jc w:val="center"/>
              <w:textAlignment w:val="baseline"/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156" w:type="dxa"/>
            <w:noWrap/>
            <w:vAlign w:val="center"/>
            <w:hideMark/>
          </w:tcPr>
          <w:p w14:paraId="1D15E878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8" w:type="dxa"/>
            <w:noWrap/>
            <w:vAlign w:val="center"/>
            <w:hideMark/>
          </w:tcPr>
          <w:p w14:paraId="6C841650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83 526 955 </w:t>
            </w:r>
          </w:p>
        </w:tc>
        <w:tc>
          <w:tcPr>
            <w:tcW w:w="1567" w:type="dxa"/>
            <w:noWrap/>
            <w:vAlign w:val="center"/>
            <w:hideMark/>
          </w:tcPr>
          <w:p w14:paraId="2258E949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  </w:t>
            </w: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29 234 434 </w:t>
            </w:r>
          </w:p>
        </w:tc>
        <w:tc>
          <w:tcPr>
            <w:tcW w:w="1703" w:type="dxa"/>
            <w:noWrap/>
            <w:vAlign w:val="center"/>
            <w:hideMark/>
          </w:tcPr>
          <w:p w14:paraId="47FA507D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 xml:space="preserve">55 648 944 </w:t>
            </w:r>
          </w:p>
        </w:tc>
        <w:tc>
          <w:tcPr>
            <w:tcW w:w="1984" w:type="dxa"/>
            <w:vAlign w:val="center"/>
            <w:hideMark/>
          </w:tcPr>
          <w:p w14:paraId="68EEA360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color w:val="000000" w:themeColor="text1"/>
                <w:sz w:val="22"/>
                <w:szCs w:val="32"/>
              </w:rPr>
              <w:t>190,35%</w:t>
            </w:r>
          </w:p>
        </w:tc>
      </w:tr>
      <w:tr w:rsidR="00011EF0" w:rsidRPr="00011EF0" w14:paraId="25FD7873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0" w:type="dxa"/>
            <w:gridSpan w:val="2"/>
            <w:noWrap/>
            <w:vAlign w:val="center"/>
            <w:hideMark/>
          </w:tcPr>
          <w:p w14:paraId="2F1434DC" w14:textId="77777777" w:rsidR="00011EF0" w:rsidRPr="00011EF0" w:rsidRDefault="00011EF0" w:rsidP="00011EF0">
            <w:pPr>
              <w:pStyle w:val="paragraph"/>
              <w:spacing w:before="120" w:after="120"/>
              <w:jc w:val="both"/>
              <w:textAlignment w:val="baseline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568" w:type="dxa"/>
            <w:noWrap/>
            <w:vAlign w:val="center"/>
            <w:hideMark/>
          </w:tcPr>
          <w:p w14:paraId="353CA0C8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386 212 621 </w:t>
            </w:r>
          </w:p>
        </w:tc>
        <w:tc>
          <w:tcPr>
            <w:tcW w:w="1567" w:type="dxa"/>
            <w:noWrap/>
            <w:vAlign w:val="center"/>
            <w:hideMark/>
          </w:tcPr>
          <w:p w14:paraId="71F0EFB8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135 174 418 </w:t>
            </w:r>
          </w:p>
        </w:tc>
        <w:tc>
          <w:tcPr>
            <w:tcW w:w="1703" w:type="dxa"/>
            <w:noWrap/>
            <w:vAlign w:val="center"/>
            <w:hideMark/>
          </w:tcPr>
          <w:p w14:paraId="43296898" w14:textId="77777777" w:rsidR="00011EF0" w:rsidRPr="00011EF0" w:rsidRDefault="00011EF0" w:rsidP="000C2486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 xml:space="preserve">56 754 857 </w:t>
            </w:r>
          </w:p>
        </w:tc>
        <w:tc>
          <w:tcPr>
            <w:tcW w:w="1984" w:type="dxa"/>
            <w:vAlign w:val="center"/>
            <w:hideMark/>
          </w:tcPr>
          <w:p w14:paraId="269E67B6" w14:textId="77777777" w:rsidR="00011EF0" w:rsidRPr="00011EF0" w:rsidRDefault="00011EF0" w:rsidP="00011EF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</w:pPr>
            <w:r w:rsidRPr="00011EF0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32"/>
              </w:rPr>
              <w:t>41,99%</w:t>
            </w:r>
          </w:p>
        </w:tc>
      </w:tr>
    </w:tbl>
    <w:p w14:paraId="0802AA9F" w14:textId="77777777" w:rsidR="00E24F4C" w:rsidRDefault="00E24F4C" w:rsidP="00E24F4C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9585D3E" w14:textId="77777777" w:rsidR="00E24F4C" w:rsidRDefault="00E24F4C" w:rsidP="00E24F4C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56,75 mil. EUR, pričom plán bol zakontrahovať 135,17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41,99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 xml:space="preserve">. V rámci jednotlivých fondov má ESF+ plnenie nad 100 %, ale </w:t>
      </w:r>
      <w:r w:rsidRPr="00E24F4C">
        <w:rPr>
          <w:rFonts w:cstheme="minorHAnsi"/>
          <w:color w:val="000000" w:themeColor="text1"/>
          <w:szCs w:val="32"/>
        </w:rPr>
        <w:t>v rámci EFRR je plnenie nulové.</w:t>
      </w:r>
      <w:r>
        <w:rPr>
          <w:rFonts w:cstheme="minorHAnsi"/>
          <w:color w:val="000000" w:themeColor="text1"/>
          <w:szCs w:val="32"/>
        </w:rPr>
        <w:t xml:space="preserve"> </w:t>
      </w:r>
      <w:r w:rsidRPr="00E24F4C">
        <w:rPr>
          <w:rFonts w:cstheme="minorHAnsi"/>
          <w:b/>
          <w:color w:val="000000" w:themeColor="text1"/>
          <w:szCs w:val="32"/>
        </w:rPr>
        <w:t>Nakoľko alokácia EFRR tvorí viac ako ¾ celkovej pridelenej alokácie MZ SR, je nulové kontra</w:t>
      </w:r>
      <w:r>
        <w:rPr>
          <w:rFonts w:cstheme="minorHAnsi"/>
          <w:b/>
          <w:color w:val="000000" w:themeColor="text1"/>
          <w:szCs w:val="32"/>
        </w:rPr>
        <w:t>hovanie za EFRR rizikové a je nevyhnutné akcelerovať kontrahovanie v čo najkratšom možnom čase.</w:t>
      </w:r>
    </w:p>
    <w:p w14:paraId="7DFDF84C" w14:textId="77777777" w:rsidR="00053350" w:rsidRDefault="00053350" w:rsidP="00E24F4C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</w:p>
    <w:p w14:paraId="132B8794" w14:textId="30694606" w:rsidR="00053350" w:rsidRDefault="00902872" w:rsidP="00564699">
      <w:pPr>
        <w:pStyle w:val="Nadpis3"/>
      </w:pPr>
      <w:bookmarkStart w:id="22" w:name="_Toc193446287"/>
      <w:r>
        <w:t xml:space="preserve">Dôvody </w:t>
      </w:r>
      <w:r w:rsidR="00013EE6">
        <w:t xml:space="preserve"> nenaplnenia Investičného plánu</w:t>
      </w:r>
      <w:bookmarkEnd w:id="22"/>
    </w:p>
    <w:p w14:paraId="4AD17141" w14:textId="050CE812" w:rsidR="00F82205" w:rsidRPr="00564699" w:rsidRDefault="00F82205" w:rsidP="00564699">
      <w:pPr>
        <w:pStyle w:val="Normlnywebov"/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V prípade MZ SR je možné za jednu z hlavných príčin nenaplnenia Investičného plánu považovať posun harmonogramu plánovaných výziev. V dôsledku tohto posunu boli až v 4. </w:t>
      </w:r>
      <w:r w:rsidR="00844027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Q</w:t>
      </w: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2024 vyhlásené výzvy (tri dopytovo orientované a jeden fázovaný projekt), ktoré mali byť pô</w:t>
      </w:r>
      <w:r w:rsidRPr="00F82205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vodne vyhlásené už v 3.</w:t>
      </w:r>
      <w:r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Q</w:t>
      </w: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2024.</w:t>
      </w:r>
    </w:p>
    <w:p w14:paraId="5FF2B29D" w14:textId="77777777" w:rsidR="00F82205" w:rsidRPr="00564699" w:rsidRDefault="00F82205" w:rsidP="00564699">
      <w:pPr>
        <w:pStyle w:val="Normlnywebov"/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Ide o nasledovné výzvy s alokáciou cca 95 mil. EUR:</w:t>
      </w:r>
    </w:p>
    <w:p w14:paraId="7CBB0F5E" w14:textId="789F0A7D" w:rsidR="00F82205" w:rsidRPr="00564699" w:rsidRDefault="00F82205" w:rsidP="00564699">
      <w:pPr>
        <w:pStyle w:val="Normlnywebov"/>
        <w:numPr>
          <w:ilvl w:val="0"/>
          <w:numId w:val="14"/>
        </w:num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Výzva č. PSK-MZ-009-2024-DV-EFRR v alokácii 8 493 976 EUR,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zameraná na p</w:t>
      </w:r>
      <w:r w:rsidR="00940439" w:rsidRP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odpor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u</w:t>
      </w:r>
      <w:r w:rsidR="00940439" w:rsidRP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medzinárodnej spolupráce v oblasti výskumu, vývoja a inovácií – Doména Zdravá spoločnosť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,</w:t>
      </w:r>
    </w:p>
    <w:p w14:paraId="2F497D4A" w14:textId="6083E485" w:rsidR="00F82205" w:rsidRPr="00564699" w:rsidRDefault="00F82205" w:rsidP="00564699">
      <w:pPr>
        <w:pStyle w:val="Normlnywebov"/>
        <w:numPr>
          <w:ilvl w:val="0"/>
          <w:numId w:val="14"/>
        </w:num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Výzva č. PSK-MZ-010-2024-DV-EFRR v alokácii 50 000 000 EUR,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zameraná na d</w:t>
      </w:r>
      <w:r w:rsidR="00940439" w:rsidRP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obudovanie výskumných infraštruktúr - podpora aplikovaného výskumu a vývoja pre projekty od myšlienky k produktu v doméne Zdravá spoločnosť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,</w:t>
      </w:r>
    </w:p>
    <w:p w14:paraId="31584857" w14:textId="01258698" w:rsidR="00F82205" w:rsidRPr="00564699" w:rsidRDefault="00F82205" w:rsidP="00564699">
      <w:pPr>
        <w:pStyle w:val="Normlnywebov"/>
        <w:numPr>
          <w:ilvl w:val="0"/>
          <w:numId w:val="14"/>
        </w:num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Výzva č. PSK-MZ-011-2024-DV-EFRR v alokácii 27 000 000 EUR,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zameraná na d</w:t>
      </w:r>
      <w:r w:rsidR="00940439" w:rsidRP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obudovanie výskumnej infraštruktúry pre excelentných výskumníkov v Doméne Zdravá spoločnosť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, </w:t>
      </w:r>
    </w:p>
    <w:p w14:paraId="22DBFDE2" w14:textId="27EEC346" w:rsidR="00F82205" w:rsidRPr="00564699" w:rsidRDefault="00F82205" w:rsidP="00564699">
      <w:pPr>
        <w:pStyle w:val="Normlnywebov"/>
        <w:numPr>
          <w:ilvl w:val="0"/>
          <w:numId w:val="14"/>
        </w:num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Výzva č. PSK-MZ-016-2024-FAA-EFRR v alokácii 10 607 419 EUR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, zameraná </w:t>
      </w:r>
      <w:r w:rsidR="00940439" w:rsidRP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na podporu systémovej verejnej výskumnej infraštruktúry v doméne Zdravie obyvateľstva a zdravotnícke technológie OPVaI-VA/DP/2019/1.1.3-11 – „II. fáza“</w:t>
      </w:r>
      <w:r w:rsidR="0094043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.</w:t>
      </w:r>
    </w:p>
    <w:p w14:paraId="6CA79D7E" w14:textId="73936DDB" w:rsidR="00F82205" w:rsidRPr="00564699" w:rsidRDefault="00F82205" w:rsidP="00564699">
      <w:pPr>
        <w:pStyle w:val="Normlnywebov"/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</w:pP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Na kontrahovanie v roku 2024 mal negatívny vplyv aj plánovaný presun finančných prostriedkov do iniciatívy STEP v objeme 40 mil. EUR. Procesy sa spomalili z dôvodu povinnosti schváliť finálnu podobu revízie P</w:t>
      </w:r>
      <w:r w:rsidR="00844027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 xml:space="preserve"> </w:t>
      </w:r>
      <w:r w:rsidRPr="00564699">
        <w:rPr>
          <w:rFonts w:asciiTheme="minorHAnsi" w:eastAsiaTheme="minorHAnsi" w:hAnsiTheme="minorHAnsi" w:cstheme="minorHAnsi"/>
          <w:color w:val="000000" w:themeColor="text1"/>
          <w:sz w:val="22"/>
          <w:szCs w:val="32"/>
          <w:lang w:eastAsia="en-US"/>
        </w:rPr>
        <w:t>SK a následne ju predložiť na schválenie Európskej komisii.</w:t>
      </w:r>
    </w:p>
    <w:p w14:paraId="5C644D1C" w14:textId="299F2267" w:rsidR="00F82205" w:rsidRDefault="00F82205" w:rsidP="00564699"/>
    <w:p w14:paraId="58F796BE" w14:textId="60113249" w:rsidR="00844027" w:rsidRDefault="00844027" w:rsidP="00564699"/>
    <w:p w14:paraId="0EC311F5" w14:textId="7E5BF664" w:rsidR="00411B5E" w:rsidRDefault="00411B5E" w:rsidP="00564699"/>
    <w:p w14:paraId="290843AE" w14:textId="77777777" w:rsidR="00411B5E" w:rsidRPr="00F82205" w:rsidRDefault="00411B5E" w:rsidP="00564699"/>
    <w:p w14:paraId="69A15CE1" w14:textId="77777777" w:rsidR="000A1008" w:rsidRPr="000A1008" w:rsidRDefault="000904F2" w:rsidP="009E3F1A">
      <w:pPr>
        <w:pStyle w:val="Nadpis2"/>
        <w:rPr>
          <w:rFonts w:eastAsiaTheme="minorHAnsi" w:cstheme="minorBidi"/>
          <w:lang w:eastAsia="sk-SK"/>
        </w:rPr>
      </w:pPr>
      <w:bookmarkStart w:id="23" w:name="_Toc193446288"/>
      <w:r w:rsidRPr="006F3E00">
        <w:lastRenderedPageBreak/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0A1008" w:rsidRPr="000A1008">
        <w:rPr>
          <w:rFonts w:eastAsiaTheme="minorHAnsi" w:cstheme="minorBidi"/>
          <w:lang w:eastAsia="sk-SK"/>
        </w:rPr>
        <w:t>MV SR</w:t>
      </w:r>
      <w:bookmarkEnd w:id="23"/>
    </w:p>
    <w:p w14:paraId="6E750345" w14:textId="77777777" w:rsidR="000A1008" w:rsidRPr="00276BE3" w:rsidRDefault="000A1008" w:rsidP="000A1008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13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>ľad plnenia Investičných plánov MV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078"/>
        <w:gridCol w:w="1424"/>
        <w:gridCol w:w="1583"/>
        <w:gridCol w:w="1575"/>
        <w:gridCol w:w="1568"/>
        <w:gridCol w:w="1837"/>
      </w:tblGrid>
      <w:tr w:rsidR="000A1008" w:rsidRPr="000A1008" w14:paraId="5B3D8297" w14:textId="77777777" w:rsidTr="0005335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  <w:vAlign w:val="center"/>
            <w:hideMark/>
          </w:tcPr>
          <w:p w14:paraId="1A0B5E9D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424" w:type="dxa"/>
            <w:vAlign w:val="center"/>
            <w:hideMark/>
          </w:tcPr>
          <w:p w14:paraId="413959EB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583" w:type="dxa"/>
            <w:vAlign w:val="center"/>
            <w:hideMark/>
          </w:tcPr>
          <w:p w14:paraId="503B5EA4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75" w:type="dxa"/>
            <w:vAlign w:val="center"/>
            <w:hideMark/>
          </w:tcPr>
          <w:p w14:paraId="10AAA45B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568" w:type="dxa"/>
            <w:vAlign w:val="center"/>
            <w:hideMark/>
          </w:tcPr>
          <w:p w14:paraId="7D6FE450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837" w:type="dxa"/>
            <w:vAlign w:val="center"/>
            <w:hideMark/>
          </w:tcPr>
          <w:p w14:paraId="4896C62D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0A1008" w:rsidRPr="000A1008" w14:paraId="077A52C8" w14:textId="77777777" w:rsidTr="000533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  <w:noWrap/>
            <w:vAlign w:val="center"/>
            <w:hideMark/>
          </w:tcPr>
          <w:p w14:paraId="61C7B751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424" w:type="dxa"/>
            <w:noWrap/>
            <w:vAlign w:val="center"/>
            <w:hideMark/>
          </w:tcPr>
          <w:p w14:paraId="45D07DCF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83" w:type="dxa"/>
            <w:noWrap/>
            <w:vAlign w:val="center"/>
            <w:hideMark/>
          </w:tcPr>
          <w:p w14:paraId="6A7750CD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-   </w:t>
            </w:r>
          </w:p>
        </w:tc>
        <w:tc>
          <w:tcPr>
            <w:tcW w:w="1575" w:type="dxa"/>
            <w:noWrap/>
            <w:vAlign w:val="center"/>
            <w:hideMark/>
          </w:tcPr>
          <w:p w14:paraId="7E63CA2C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-   </w:t>
            </w:r>
          </w:p>
        </w:tc>
        <w:tc>
          <w:tcPr>
            <w:tcW w:w="1568" w:type="dxa"/>
            <w:noWrap/>
            <w:vAlign w:val="center"/>
            <w:hideMark/>
          </w:tcPr>
          <w:p w14:paraId="554FE3EF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-   </w:t>
            </w:r>
          </w:p>
        </w:tc>
        <w:tc>
          <w:tcPr>
            <w:tcW w:w="1837" w:type="dxa"/>
            <w:vAlign w:val="center"/>
            <w:hideMark/>
          </w:tcPr>
          <w:p w14:paraId="74E81BAB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N/A</w:t>
            </w:r>
          </w:p>
        </w:tc>
      </w:tr>
      <w:tr w:rsidR="000A1008" w:rsidRPr="000A1008" w14:paraId="00ECD691" w14:textId="77777777" w:rsidTr="00053350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  <w:noWrap/>
            <w:vAlign w:val="center"/>
            <w:hideMark/>
          </w:tcPr>
          <w:p w14:paraId="7AC6663E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424" w:type="dxa"/>
            <w:noWrap/>
            <w:vAlign w:val="center"/>
            <w:hideMark/>
          </w:tcPr>
          <w:p w14:paraId="284D6371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83" w:type="dxa"/>
            <w:noWrap/>
            <w:vAlign w:val="center"/>
            <w:hideMark/>
          </w:tcPr>
          <w:p w14:paraId="3BECB6E6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107 400 000 </w:t>
            </w:r>
          </w:p>
        </w:tc>
        <w:tc>
          <w:tcPr>
            <w:tcW w:w="1575" w:type="dxa"/>
            <w:noWrap/>
            <w:vAlign w:val="center"/>
            <w:hideMark/>
          </w:tcPr>
          <w:p w14:paraId="03316F06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37 590 000 </w:t>
            </w:r>
          </w:p>
        </w:tc>
        <w:tc>
          <w:tcPr>
            <w:tcW w:w="1568" w:type="dxa"/>
            <w:noWrap/>
            <w:vAlign w:val="center"/>
            <w:hideMark/>
          </w:tcPr>
          <w:p w14:paraId="1A7CE803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50 894 882 </w:t>
            </w:r>
          </w:p>
        </w:tc>
        <w:tc>
          <w:tcPr>
            <w:tcW w:w="1837" w:type="dxa"/>
            <w:vAlign w:val="center"/>
            <w:hideMark/>
          </w:tcPr>
          <w:p w14:paraId="44DD82B9" w14:textId="77777777" w:rsidR="000A1008" w:rsidRPr="000A1008" w:rsidRDefault="00053350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135,39</w:t>
            </w:r>
            <w:r w:rsidR="000A1008"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</w:t>
            </w:r>
          </w:p>
        </w:tc>
      </w:tr>
      <w:tr w:rsidR="000A1008" w:rsidRPr="000A1008" w14:paraId="41796E1B" w14:textId="77777777" w:rsidTr="000533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2" w:type="dxa"/>
            <w:gridSpan w:val="2"/>
            <w:noWrap/>
            <w:vAlign w:val="center"/>
            <w:hideMark/>
          </w:tcPr>
          <w:p w14:paraId="18F0269C" w14:textId="77777777" w:rsidR="000A1008" w:rsidRPr="000A1008" w:rsidRDefault="000A1008" w:rsidP="000A1008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583" w:type="dxa"/>
            <w:noWrap/>
            <w:vAlign w:val="center"/>
            <w:hideMark/>
          </w:tcPr>
          <w:p w14:paraId="5005EF69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107 400 000 </w:t>
            </w:r>
          </w:p>
        </w:tc>
        <w:tc>
          <w:tcPr>
            <w:tcW w:w="1575" w:type="dxa"/>
            <w:noWrap/>
            <w:vAlign w:val="center"/>
            <w:hideMark/>
          </w:tcPr>
          <w:p w14:paraId="0EBE7217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37 590 000 </w:t>
            </w:r>
          </w:p>
        </w:tc>
        <w:tc>
          <w:tcPr>
            <w:tcW w:w="1568" w:type="dxa"/>
            <w:noWrap/>
            <w:vAlign w:val="center"/>
            <w:hideMark/>
          </w:tcPr>
          <w:p w14:paraId="3B2B9D8B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50 894 882 </w:t>
            </w:r>
          </w:p>
        </w:tc>
        <w:tc>
          <w:tcPr>
            <w:tcW w:w="1837" w:type="dxa"/>
            <w:vAlign w:val="center"/>
            <w:hideMark/>
          </w:tcPr>
          <w:p w14:paraId="1347B863" w14:textId="77777777" w:rsidR="000A1008" w:rsidRPr="000A1008" w:rsidRDefault="00053350" w:rsidP="00053350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135,39</w:t>
            </w:r>
            <w:r w:rsidR="000A1008"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%</w:t>
            </w:r>
          </w:p>
        </w:tc>
      </w:tr>
    </w:tbl>
    <w:p w14:paraId="6A81C7DD" w14:textId="77777777" w:rsidR="00A561E0" w:rsidRDefault="00A561E0" w:rsidP="00053350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0FDD631F" w14:textId="77777777" w:rsidR="00A561E0" w:rsidRDefault="00053350" w:rsidP="00053350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>K 31. 12. 2024 je kontrahovanie 50,89 mil. EUR, pričom plán bol zakontrahovať 37,59 mil. EUR.</w:t>
      </w:r>
    </w:p>
    <w:p w14:paraId="3B305D13" w14:textId="77777777" w:rsidR="00053350" w:rsidRDefault="00053350" w:rsidP="00053350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135,39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</w:t>
      </w:r>
    </w:p>
    <w:p w14:paraId="559A51CE" w14:textId="77777777" w:rsidR="000A1008" w:rsidRDefault="000904F2" w:rsidP="009E3F1A">
      <w:pPr>
        <w:pStyle w:val="Nadpis2"/>
        <w:rPr>
          <w:rFonts w:eastAsiaTheme="minorHAnsi" w:cstheme="minorBidi"/>
        </w:rPr>
      </w:pPr>
      <w:bookmarkStart w:id="24" w:name="_Toc193446289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0A1008">
        <w:rPr>
          <w:rFonts w:eastAsiaTheme="minorHAnsi" w:cstheme="minorBidi"/>
        </w:rPr>
        <w:t>ÚV SR</w:t>
      </w:r>
      <w:bookmarkEnd w:id="24"/>
    </w:p>
    <w:p w14:paraId="1C413663" w14:textId="77777777" w:rsidR="000A1008" w:rsidRPr="00276BE3" w:rsidRDefault="000A1008" w:rsidP="000A1008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14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>ľad plnenia Investičných plánov ÚV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117"/>
        <w:gridCol w:w="1278"/>
        <w:gridCol w:w="1564"/>
        <w:gridCol w:w="1564"/>
        <w:gridCol w:w="1702"/>
        <w:gridCol w:w="1837"/>
      </w:tblGrid>
      <w:tr w:rsidR="000A1008" w:rsidRPr="000A1008" w14:paraId="34132965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7" w:type="dxa"/>
            <w:vAlign w:val="center"/>
            <w:hideMark/>
          </w:tcPr>
          <w:p w14:paraId="0CD032AF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278" w:type="dxa"/>
            <w:vAlign w:val="center"/>
            <w:hideMark/>
          </w:tcPr>
          <w:p w14:paraId="2A351853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564" w:type="dxa"/>
            <w:vAlign w:val="center"/>
            <w:hideMark/>
          </w:tcPr>
          <w:p w14:paraId="51F2FD32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4" w:type="dxa"/>
            <w:vAlign w:val="center"/>
            <w:hideMark/>
          </w:tcPr>
          <w:p w14:paraId="71E84738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702" w:type="dxa"/>
            <w:vAlign w:val="center"/>
            <w:hideMark/>
          </w:tcPr>
          <w:p w14:paraId="77012A4C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837" w:type="dxa"/>
            <w:vAlign w:val="center"/>
            <w:hideMark/>
          </w:tcPr>
          <w:p w14:paraId="02C0A8AA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0A1008" w:rsidRPr="000A1008" w14:paraId="45E971A0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7" w:type="dxa"/>
            <w:noWrap/>
            <w:vAlign w:val="center"/>
            <w:hideMark/>
          </w:tcPr>
          <w:p w14:paraId="5E27E4E7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278" w:type="dxa"/>
            <w:noWrap/>
            <w:vAlign w:val="center"/>
            <w:hideMark/>
          </w:tcPr>
          <w:p w14:paraId="3B856143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64" w:type="dxa"/>
            <w:noWrap/>
            <w:vAlign w:val="center"/>
            <w:hideMark/>
          </w:tcPr>
          <w:p w14:paraId="06F11E09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5 000 000 </w:t>
            </w:r>
          </w:p>
        </w:tc>
        <w:tc>
          <w:tcPr>
            <w:tcW w:w="1564" w:type="dxa"/>
            <w:noWrap/>
            <w:vAlign w:val="center"/>
            <w:hideMark/>
          </w:tcPr>
          <w:p w14:paraId="6B19F8D0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-   </w:t>
            </w:r>
          </w:p>
        </w:tc>
        <w:tc>
          <w:tcPr>
            <w:tcW w:w="1702" w:type="dxa"/>
            <w:noWrap/>
            <w:vAlign w:val="center"/>
            <w:hideMark/>
          </w:tcPr>
          <w:p w14:paraId="5E6B3095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         -   </w:t>
            </w:r>
          </w:p>
        </w:tc>
        <w:tc>
          <w:tcPr>
            <w:tcW w:w="1837" w:type="dxa"/>
            <w:noWrap/>
            <w:vAlign w:val="center"/>
            <w:hideMark/>
          </w:tcPr>
          <w:p w14:paraId="5133A90E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N</w:t>
            </w:r>
            <w:r w:rsidR="00A561E0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/</w:t>
            </w: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</w:t>
            </w:r>
          </w:p>
        </w:tc>
      </w:tr>
      <w:tr w:rsidR="000A1008" w:rsidRPr="000A1008" w14:paraId="1B15DFC7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7" w:type="dxa"/>
            <w:noWrap/>
            <w:vAlign w:val="center"/>
            <w:hideMark/>
          </w:tcPr>
          <w:p w14:paraId="27B8E46A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278" w:type="dxa"/>
            <w:noWrap/>
            <w:vAlign w:val="center"/>
            <w:hideMark/>
          </w:tcPr>
          <w:p w14:paraId="7B1F6F73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4" w:type="dxa"/>
            <w:noWrap/>
            <w:vAlign w:val="center"/>
            <w:hideMark/>
          </w:tcPr>
          <w:p w14:paraId="000390C8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224 500 000 </w:t>
            </w:r>
          </w:p>
        </w:tc>
        <w:tc>
          <w:tcPr>
            <w:tcW w:w="1564" w:type="dxa"/>
            <w:noWrap/>
            <w:vAlign w:val="center"/>
            <w:hideMark/>
          </w:tcPr>
          <w:p w14:paraId="23D601D4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20 000 000 </w:t>
            </w:r>
          </w:p>
        </w:tc>
        <w:tc>
          <w:tcPr>
            <w:tcW w:w="1702" w:type="dxa"/>
            <w:noWrap/>
            <w:vAlign w:val="center"/>
            <w:hideMark/>
          </w:tcPr>
          <w:p w14:paraId="6410EC32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23 306 641 </w:t>
            </w:r>
          </w:p>
        </w:tc>
        <w:tc>
          <w:tcPr>
            <w:tcW w:w="1837" w:type="dxa"/>
            <w:vAlign w:val="center"/>
            <w:hideMark/>
          </w:tcPr>
          <w:p w14:paraId="78421B15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116,53%</w:t>
            </w:r>
          </w:p>
        </w:tc>
      </w:tr>
      <w:tr w:rsidR="000A1008" w:rsidRPr="000A1008" w14:paraId="72BFAECB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7" w:type="dxa"/>
            <w:noWrap/>
            <w:vAlign w:val="center"/>
            <w:hideMark/>
          </w:tcPr>
          <w:p w14:paraId="3136A58B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278" w:type="dxa"/>
            <w:noWrap/>
            <w:vAlign w:val="center"/>
            <w:hideMark/>
          </w:tcPr>
          <w:p w14:paraId="18798D94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564" w:type="dxa"/>
            <w:noWrap/>
            <w:vAlign w:val="center"/>
            <w:hideMark/>
          </w:tcPr>
          <w:p w14:paraId="0A393691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3 000 000 </w:t>
            </w:r>
          </w:p>
        </w:tc>
        <w:tc>
          <w:tcPr>
            <w:tcW w:w="1564" w:type="dxa"/>
            <w:noWrap/>
            <w:vAlign w:val="center"/>
            <w:hideMark/>
          </w:tcPr>
          <w:p w14:paraId="4FEF1D4F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346 000 </w:t>
            </w:r>
          </w:p>
        </w:tc>
        <w:tc>
          <w:tcPr>
            <w:tcW w:w="1702" w:type="dxa"/>
            <w:noWrap/>
            <w:vAlign w:val="center"/>
            <w:hideMark/>
          </w:tcPr>
          <w:p w14:paraId="2344483A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 346 674 </w:t>
            </w:r>
          </w:p>
        </w:tc>
        <w:tc>
          <w:tcPr>
            <w:tcW w:w="1837" w:type="dxa"/>
            <w:vAlign w:val="center"/>
            <w:hideMark/>
          </w:tcPr>
          <w:p w14:paraId="0D939B76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100,19%</w:t>
            </w:r>
          </w:p>
        </w:tc>
      </w:tr>
      <w:tr w:rsidR="000A1008" w:rsidRPr="000A1008" w14:paraId="374EEA3D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7" w:type="dxa"/>
            <w:noWrap/>
            <w:vAlign w:val="center"/>
            <w:hideMark/>
          </w:tcPr>
          <w:p w14:paraId="3EA1930A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278" w:type="dxa"/>
            <w:noWrap/>
            <w:vAlign w:val="center"/>
            <w:hideMark/>
          </w:tcPr>
          <w:p w14:paraId="5792B2AF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564" w:type="dxa"/>
            <w:noWrap/>
            <w:vAlign w:val="center"/>
            <w:hideMark/>
          </w:tcPr>
          <w:p w14:paraId="31DDCB6D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 99 000 000 </w:t>
            </w:r>
          </w:p>
        </w:tc>
        <w:tc>
          <w:tcPr>
            <w:tcW w:w="1564" w:type="dxa"/>
            <w:noWrap/>
            <w:vAlign w:val="center"/>
            <w:hideMark/>
          </w:tcPr>
          <w:p w14:paraId="24D1E4FF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162 950 000 </w:t>
            </w:r>
          </w:p>
        </w:tc>
        <w:tc>
          <w:tcPr>
            <w:tcW w:w="1702" w:type="dxa"/>
            <w:noWrap/>
            <w:vAlign w:val="center"/>
            <w:hideMark/>
          </w:tcPr>
          <w:p w14:paraId="234AE0A8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163 081 378 </w:t>
            </w:r>
          </w:p>
        </w:tc>
        <w:tc>
          <w:tcPr>
            <w:tcW w:w="1837" w:type="dxa"/>
            <w:vAlign w:val="center"/>
            <w:hideMark/>
          </w:tcPr>
          <w:p w14:paraId="0A995497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100,08%</w:t>
            </w:r>
          </w:p>
        </w:tc>
      </w:tr>
      <w:tr w:rsidR="000A1008" w:rsidRPr="000A1008" w14:paraId="191A075B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5" w:type="dxa"/>
            <w:gridSpan w:val="2"/>
            <w:noWrap/>
            <w:vAlign w:val="center"/>
            <w:hideMark/>
          </w:tcPr>
          <w:p w14:paraId="697D07A4" w14:textId="77777777" w:rsidR="000A1008" w:rsidRPr="000A1008" w:rsidRDefault="000A1008" w:rsidP="000A1008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564" w:type="dxa"/>
            <w:noWrap/>
            <w:vAlign w:val="center"/>
            <w:hideMark/>
          </w:tcPr>
          <w:p w14:paraId="7C9B047A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  431 500 000 </w:t>
            </w:r>
          </w:p>
        </w:tc>
        <w:tc>
          <w:tcPr>
            <w:tcW w:w="1564" w:type="dxa"/>
            <w:noWrap/>
            <w:vAlign w:val="center"/>
            <w:hideMark/>
          </w:tcPr>
          <w:p w14:paraId="6207BDB8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183 296 000 </w:t>
            </w:r>
          </w:p>
        </w:tc>
        <w:tc>
          <w:tcPr>
            <w:tcW w:w="1702" w:type="dxa"/>
            <w:noWrap/>
            <w:vAlign w:val="center"/>
            <w:hideMark/>
          </w:tcPr>
          <w:p w14:paraId="5E06305B" w14:textId="77777777" w:rsidR="000A1008" w:rsidRPr="000A1008" w:rsidRDefault="000A1008" w:rsidP="000A1008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186 734 693 </w:t>
            </w:r>
          </w:p>
        </w:tc>
        <w:tc>
          <w:tcPr>
            <w:tcW w:w="1837" w:type="dxa"/>
            <w:vAlign w:val="center"/>
            <w:hideMark/>
          </w:tcPr>
          <w:p w14:paraId="2E79FE35" w14:textId="77777777" w:rsidR="000A1008" w:rsidRPr="000A1008" w:rsidRDefault="000A1008" w:rsidP="000A1008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101,88%</w:t>
            </w:r>
          </w:p>
        </w:tc>
      </w:tr>
    </w:tbl>
    <w:p w14:paraId="1698E835" w14:textId="77777777" w:rsidR="00A561E0" w:rsidRDefault="00A561E0" w:rsidP="00A561E0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0310EAEF" w14:textId="1967BC5D" w:rsidR="00F2524F" w:rsidRPr="00995684" w:rsidRDefault="00A561E0" w:rsidP="00F2524F">
      <w:pPr>
        <w:spacing w:after="0" w:line="240" w:lineRule="auto"/>
        <w:jc w:val="both"/>
        <w:rPr>
          <w:rFonts w:cstheme="minorHAnsi"/>
          <w:b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186,73 mil. EUR, pričom plán bol zakontrahovať 183,30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101,88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 w:rsidR="005647AB">
        <w:rPr>
          <w:rFonts w:cstheme="minorHAnsi"/>
          <w:color w:val="000000" w:themeColor="text1"/>
          <w:szCs w:val="32"/>
        </w:rPr>
        <w:t>. Plán bol ale upravený, pričom zmena sa týkala najmä</w:t>
      </w:r>
      <w:r>
        <w:rPr>
          <w:rFonts w:cstheme="minorHAnsi"/>
          <w:color w:val="000000" w:themeColor="text1"/>
          <w:szCs w:val="32"/>
        </w:rPr>
        <w:t xml:space="preserve"> EFRR</w:t>
      </w:r>
      <w:r w:rsidR="005647AB">
        <w:rPr>
          <w:rFonts w:cstheme="minorHAnsi"/>
          <w:color w:val="000000" w:themeColor="text1"/>
          <w:szCs w:val="32"/>
        </w:rPr>
        <w:t>, kde došlo k zníženiu o</w:t>
      </w:r>
      <w:r>
        <w:rPr>
          <w:rFonts w:cstheme="minorHAnsi"/>
          <w:color w:val="000000" w:themeColor="text1"/>
          <w:szCs w:val="32"/>
        </w:rPr>
        <w:t xml:space="preserve"> cca 60 mil. EUR. Ak by bol plán zachovaný, za EFRR by bolo plnenie len</w:t>
      </w:r>
      <w:r w:rsidR="00F2524F">
        <w:rPr>
          <w:rFonts w:cstheme="minorHAnsi"/>
          <w:color w:val="000000" w:themeColor="text1"/>
          <w:szCs w:val="32"/>
        </w:rPr>
        <w:t xml:space="preserve"> 29,02 %. </w:t>
      </w:r>
      <w:r w:rsidR="00F2524F" w:rsidRPr="00F2524F">
        <w:rPr>
          <w:rFonts w:cstheme="minorHAnsi"/>
          <w:b/>
          <w:color w:val="000000" w:themeColor="text1"/>
          <w:szCs w:val="32"/>
        </w:rPr>
        <w:t>V rámci EFRR zostáva zakontrahovať</w:t>
      </w:r>
      <w:r w:rsidR="005647AB">
        <w:rPr>
          <w:rFonts w:cstheme="minorHAnsi"/>
          <w:b/>
          <w:color w:val="000000" w:themeColor="text1"/>
          <w:szCs w:val="32"/>
        </w:rPr>
        <w:t xml:space="preserve"> </w:t>
      </w:r>
      <w:r w:rsidR="00F2524F" w:rsidRPr="00F2524F">
        <w:rPr>
          <w:rFonts w:cstheme="minorHAnsi"/>
          <w:b/>
          <w:color w:val="000000" w:themeColor="text1"/>
          <w:szCs w:val="32"/>
        </w:rPr>
        <w:t>206,19 mil. EUR, čo predstavuje takmer 9</w:t>
      </w:r>
      <w:r w:rsidR="00CC6C67">
        <w:rPr>
          <w:rFonts w:cstheme="minorHAnsi"/>
          <w:b/>
          <w:color w:val="000000" w:themeColor="text1"/>
          <w:szCs w:val="32"/>
        </w:rPr>
        <w:t>-</w:t>
      </w:r>
      <w:r w:rsidR="00F2524F" w:rsidRPr="00F2524F">
        <w:rPr>
          <w:rFonts w:cstheme="minorHAnsi"/>
          <w:b/>
          <w:color w:val="000000" w:themeColor="text1"/>
          <w:szCs w:val="32"/>
        </w:rPr>
        <w:t>násobok doposiaľ zazmluvnenej alokácie za EFRR.</w:t>
      </w:r>
    </w:p>
    <w:p w14:paraId="2CCF8D53" w14:textId="77777777" w:rsidR="000A1008" w:rsidRDefault="000904F2" w:rsidP="009E3F1A">
      <w:pPr>
        <w:pStyle w:val="Nadpis2"/>
        <w:rPr>
          <w:rFonts w:eastAsiaTheme="minorHAnsi" w:cstheme="minorBidi"/>
        </w:rPr>
      </w:pPr>
      <w:bookmarkStart w:id="25" w:name="_Toc193446290"/>
      <w:r w:rsidRPr="006F3E00"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0A1008" w:rsidRPr="000A1008">
        <w:rPr>
          <w:rFonts w:eastAsiaTheme="minorHAnsi" w:cstheme="minorBidi"/>
        </w:rPr>
        <w:t>MPSVR SR</w:t>
      </w:r>
      <w:bookmarkEnd w:id="25"/>
    </w:p>
    <w:p w14:paraId="316D8564" w14:textId="77777777" w:rsidR="000A1008" w:rsidRPr="00276BE3" w:rsidRDefault="000A1008" w:rsidP="000A1008">
      <w:pPr>
        <w:spacing w:after="0" w:line="240" w:lineRule="auto"/>
        <w:rPr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15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 xml:space="preserve">ľad plnenia Investičných plánov </w:t>
      </w:r>
      <w:r w:rsidRPr="000A1008">
        <w:rPr>
          <w:color w:val="000000" w:themeColor="text1"/>
          <w:szCs w:val="32"/>
        </w:rPr>
        <w:t>MPSVR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095"/>
        <w:gridCol w:w="1155"/>
        <w:gridCol w:w="1709"/>
        <w:gridCol w:w="1568"/>
        <w:gridCol w:w="1844"/>
        <w:gridCol w:w="1701"/>
      </w:tblGrid>
      <w:tr w:rsidR="00BA287B" w:rsidRPr="000A1008" w14:paraId="424DEBC8" w14:textId="77777777" w:rsidTr="00DF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vAlign w:val="center"/>
            <w:hideMark/>
          </w:tcPr>
          <w:p w14:paraId="51A317CE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Fond</w:t>
            </w:r>
          </w:p>
        </w:tc>
        <w:tc>
          <w:tcPr>
            <w:tcW w:w="1155" w:type="dxa"/>
            <w:vAlign w:val="center"/>
            <w:hideMark/>
          </w:tcPr>
          <w:p w14:paraId="78D528CD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Kategória regiónov</w:t>
            </w:r>
          </w:p>
        </w:tc>
        <w:tc>
          <w:tcPr>
            <w:tcW w:w="1709" w:type="dxa"/>
            <w:vAlign w:val="center"/>
            <w:hideMark/>
          </w:tcPr>
          <w:p w14:paraId="248B410D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Alokácia</w:t>
            </w:r>
          </w:p>
        </w:tc>
        <w:tc>
          <w:tcPr>
            <w:tcW w:w="1568" w:type="dxa"/>
            <w:vAlign w:val="center"/>
            <w:hideMark/>
          </w:tcPr>
          <w:p w14:paraId="0D4B5DE0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Plán kontrahovania</w:t>
            </w:r>
          </w:p>
        </w:tc>
        <w:tc>
          <w:tcPr>
            <w:tcW w:w="1844" w:type="dxa"/>
            <w:vAlign w:val="center"/>
            <w:hideMark/>
          </w:tcPr>
          <w:p w14:paraId="1F5D1F29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Kontrahovanie (brutto) </w:t>
            </w: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br/>
              <w:t>k 31.12.2024</w:t>
            </w:r>
          </w:p>
        </w:tc>
        <w:tc>
          <w:tcPr>
            <w:tcW w:w="1701" w:type="dxa"/>
            <w:vAlign w:val="center"/>
            <w:hideMark/>
          </w:tcPr>
          <w:p w14:paraId="528137FE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% plnenia plánu kontrahovania k 31.12.2024</w:t>
            </w:r>
          </w:p>
        </w:tc>
      </w:tr>
      <w:tr w:rsidR="00BA287B" w:rsidRPr="000A1008" w14:paraId="1FFB09F1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noWrap/>
            <w:vAlign w:val="center"/>
            <w:hideMark/>
          </w:tcPr>
          <w:p w14:paraId="425B2FB2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55" w:type="dxa"/>
            <w:noWrap/>
            <w:vAlign w:val="center"/>
            <w:hideMark/>
          </w:tcPr>
          <w:p w14:paraId="3F41A9EA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709" w:type="dxa"/>
            <w:noWrap/>
            <w:vAlign w:val="center"/>
            <w:hideMark/>
          </w:tcPr>
          <w:p w14:paraId="55203F36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 13 412 898 </w:t>
            </w:r>
          </w:p>
        </w:tc>
        <w:tc>
          <w:tcPr>
            <w:tcW w:w="1568" w:type="dxa"/>
            <w:noWrap/>
            <w:vAlign w:val="center"/>
            <w:hideMark/>
          </w:tcPr>
          <w:p w14:paraId="5125E637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3 329 224 </w:t>
            </w:r>
          </w:p>
        </w:tc>
        <w:tc>
          <w:tcPr>
            <w:tcW w:w="1844" w:type="dxa"/>
            <w:noWrap/>
            <w:vAlign w:val="center"/>
            <w:hideMark/>
          </w:tcPr>
          <w:p w14:paraId="35FD9F87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3 822 200 </w:t>
            </w:r>
          </w:p>
        </w:tc>
        <w:tc>
          <w:tcPr>
            <w:tcW w:w="1701" w:type="dxa"/>
            <w:vAlign w:val="center"/>
            <w:hideMark/>
          </w:tcPr>
          <w:p w14:paraId="5DDDC5D3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114,81%</w:t>
            </w:r>
          </w:p>
        </w:tc>
      </w:tr>
      <w:tr w:rsidR="00BA287B" w:rsidRPr="000A1008" w14:paraId="2774BBA7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noWrap/>
            <w:vAlign w:val="center"/>
            <w:hideMark/>
          </w:tcPr>
          <w:p w14:paraId="7CB937AA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EFRR</w:t>
            </w:r>
          </w:p>
        </w:tc>
        <w:tc>
          <w:tcPr>
            <w:tcW w:w="1155" w:type="dxa"/>
            <w:noWrap/>
            <w:vAlign w:val="center"/>
            <w:hideMark/>
          </w:tcPr>
          <w:p w14:paraId="68998225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709" w:type="dxa"/>
            <w:noWrap/>
            <w:vAlign w:val="center"/>
            <w:hideMark/>
          </w:tcPr>
          <w:p w14:paraId="6422BC5A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216 216 076 </w:t>
            </w:r>
          </w:p>
        </w:tc>
        <w:tc>
          <w:tcPr>
            <w:tcW w:w="1568" w:type="dxa"/>
            <w:noWrap/>
            <w:vAlign w:val="center"/>
            <w:hideMark/>
          </w:tcPr>
          <w:p w14:paraId="23A0ACA7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54 054 019 </w:t>
            </w:r>
          </w:p>
        </w:tc>
        <w:tc>
          <w:tcPr>
            <w:tcW w:w="1844" w:type="dxa"/>
            <w:noWrap/>
            <w:vAlign w:val="center"/>
            <w:hideMark/>
          </w:tcPr>
          <w:p w14:paraId="660C41FB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61 867 311 </w:t>
            </w:r>
          </w:p>
        </w:tc>
        <w:tc>
          <w:tcPr>
            <w:tcW w:w="1701" w:type="dxa"/>
            <w:vAlign w:val="center"/>
            <w:hideMark/>
          </w:tcPr>
          <w:p w14:paraId="7F4C26AD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114,45%</w:t>
            </w:r>
          </w:p>
        </w:tc>
      </w:tr>
      <w:tr w:rsidR="00BA287B" w:rsidRPr="000A1008" w14:paraId="0B4EB004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noWrap/>
            <w:vAlign w:val="center"/>
            <w:hideMark/>
          </w:tcPr>
          <w:p w14:paraId="444FB26F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155" w:type="dxa"/>
            <w:noWrap/>
            <w:vAlign w:val="center"/>
            <w:hideMark/>
          </w:tcPr>
          <w:p w14:paraId="407D3214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VR</w:t>
            </w:r>
          </w:p>
        </w:tc>
        <w:tc>
          <w:tcPr>
            <w:tcW w:w="1709" w:type="dxa"/>
            <w:noWrap/>
            <w:vAlign w:val="center"/>
            <w:hideMark/>
          </w:tcPr>
          <w:p w14:paraId="1DF6F65F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34 677 822 </w:t>
            </w:r>
          </w:p>
        </w:tc>
        <w:tc>
          <w:tcPr>
            <w:tcW w:w="1568" w:type="dxa"/>
            <w:noWrap/>
            <w:vAlign w:val="center"/>
            <w:hideMark/>
          </w:tcPr>
          <w:p w14:paraId="26564A78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17 338 911 </w:t>
            </w:r>
          </w:p>
        </w:tc>
        <w:tc>
          <w:tcPr>
            <w:tcW w:w="1844" w:type="dxa"/>
            <w:noWrap/>
            <w:vAlign w:val="center"/>
            <w:hideMark/>
          </w:tcPr>
          <w:p w14:paraId="57739AA9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17 940 608 </w:t>
            </w:r>
          </w:p>
        </w:tc>
        <w:tc>
          <w:tcPr>
            <w:tcW w:w="1701" w:type="dxa"/>
            <w:vAlign w:val="center"/>
            <w:hideMark/>
          </w:tcPr>
          <w:p w14:paraId="090120A9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103,47%</w:t>
            </w:r>
          </w:p>
        </w:tc>
      </w:tr>
      <w:tr w:rsidR="00BA287B" w:rsidRPr="000A1008" w14:paraId="78DB1750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noWrap/>
            <w:vAlign w:val="center"/>
            <w:hideMark/>
          </w:tcPr>
          <w:p w14:paraId="64C33AE7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ESF+</w:t>
            </w:r>
          </w:p>
        </w:tc>
        <w:tc>
          <w:tcPr>
            <w:tcW w:w="1155" w:type="dxa"/>
            <w:noWrap/>
            <w:vAlign w:val="center"/>
            <w:hideMark/>
          </w:tcPr>
          <w:p w14:paraId="30B7ABA0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709" w:type="dxa"/>
            <w:noWrap/>
            <w:vAlign w:val="center"/>
            <w:hideMark/>
          </w:tcPr>
          <w:p w14:paraId="113FEEB2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1 528 183 099 </w:t>
            </w:r>
          </w:p>
        </w:tc>
        <w:tc>
          <w:tcPr>
            <w:tcW w:w="1568" w:type="dxa"/>
            <w:noWrap/>
            <w:vAlign w:val="center"/>
            <w:hideMark/>
          </w:tcPr>
          <w:p w14:paraId="5CB4E6C6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764 091 550 </w:t>
            </w:r>
          </w:p>
        </w:tc>
        <w:tc>
          <w:tcPr>
            <w:tcW w:w="1844" w:type="dxa"/>
            <w:noWrap/>
            <w:vAlign w:val="center"/>
            <w:hideMark/>
          </w:tcPr>
          <w:p w14:paraId="2306180B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1 005 395 311 </w:t>
            </w:r>
          </w:p>
        </w:tc>
        <w:tc>
          <w:tcPr>
            <w:tcW w:w="1701" w:type="dxa"/>
            <w:vAlign w:val="center"/>
            <w:hideMark/>
          </w:tcPr>
          <w:p w14:paraId="3BD516DE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131,58%</w:t>
            </w:r>
          </w:p>
        </w:tc>
      </w:tr>
      <w:tr w:rsidR="00BA287B" w:rsidRPr="000A1008" w14:paraId="3260BDE0" w14:textId="77777777" w:rsidTr="00DF69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5" w:type="dxa"/>
            <w:noWrap/>
            <w:vAlign w:val="center"/>
            <w:hideMark/>
          </w:tcPr>
          <w:p w14:paraId="081A6202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b w:val="0"/>
                <w:color w:val="000000" w:themeColor="text1"/>
                <w:sz w:val="22"/>
                <w:szCs w:val="32"/>
              </w:rPr>
              <w:t>FST</w:t>
            </w:r>
          </w:p>
        </w:tc>
        <w:tc>
          <w:tcPr>
            <w:tcW w:w="1155" w:type="dxa"/>
            <w:noWrap/>
            <w:vAlign w:val="center"/>
            <w:hideMark/>
          </w:tcPr>
          <w:p w14:paraId="772EA9A2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MR</w:t>
            </w:r>
          </w:p>
        </w:tc>
        <w:tc>
          <w:tcPr>
            <w:tcW w:w="1709" w:type="dxa"/>
            <w:noWrap/>
            <w:vAlign w:val="center"/>
            <w:hideMark/>
          </w:tcPr>
          <w:p w14:paraId="542EB3EC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29 538 310 </w:t>
            </w:r>
          </w:p>
        </w:tc>
        <w:tc>
          <w:tcPr>
            <w:tcW w:w="1568" w:type="dxa"/>
            <w:noWrap/>
            <w:vAlign w:val="center"/>
            <w:hideMark/>
          </w:tcPr>
          <w:p w14:paraId="1EB9392E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17 200 450 </w:t>
            </w:r>
          </w:p>
        </w:tc>
        <w:tc>
          <w:tcPr>
            <w:tcW w:w="1844" w:type="dxa"/>
            <w:noWrap/>
            <w:vAlign w:val="center"/>
            <w:hideMark/>
          </w:tcPr>
          <w:p w14:paraId="42D36863" w14:textId="77777777" w:rsidR="000A1008" w:rsidRPr="000A1008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 xml:space="preserve">17 248 830 </w:t>
            </w:r>
          </w:p>
        </w:tc>
        <w:tc>
          <w:tcPr>
            <w:tcW w:w="1701" w:type="dxa"/>
            <w:vAlign w:val="center"/>
            <w:hideMark/>
          </w:tcPr>
          <w:p w14:paraId="43586D2A" w14:textId="77777777" w:rsidR="000A1008" w:rsidRPr="000A1008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0A1008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100,28%</w:t>
            </w:r>
          </w:p>
        </w:tc>
      </w:tr>
      <w:tr w:rsidR="00BA287B" w:rsidRPr="000A1008" w14:paraId="6F78A839" w14:textId="77777777" w:rsidTr="00DF696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0" w:type="dxa"/>
            <w:gridSpan w:val="2"/>
            <w:noWrap/>
            <w:vAlign w:val="center"/>
            <w:hideMark/>
          </w:tcPr>
          <w:p w14:paraId="4460F724" w14:textId="77777777" w:rsidR="000A1008" w:rsidRPr="00BA287B" w:rsidRDefault="000A1008" w:rsidP="000A1008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32"/>
              </w:rPr>
              <w:t>Spolu</w:t>
            </w:r>
          </w:p>
        </w:tc>
        <w:tc>
          <w:tcPr>
            <w:tcW w:w="1709" w:type="dxa"/>
            <w:noWrap/>
            <w:vAlign w:val="center"/>
            <w:hideMark/>
          </w:tcPr>
          <w:p w14:paraId="56F605D4" w14:textId="77777777" w:rsidR="000A1008" w:rsidRPr="00BA287B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1 822 028 205 </w:t>
            </w:r>
          </w:p>
        </w:tc>
        <w:tc>
          <w:tcPr>
            <w:tcW w:w="1568" w:type="dxa"/>
            <w:noWrap/>
            <w:vAlign w:val="center"/>
            <w:hideMark/>
          </w:tcPr>
          <w:p w14:paraId="374A897B" w14:textId="77777777" w:rsidR="000A1008" w:rsidRPr="00BA287B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856 014 154 </w:t>
            </w:r>
          </w:p>
        </w:tc>
        <w:tc>
          <w:tcPr>
            <w:tcW w:w="1844" w:type="dxa"/>
            <w:noWrap/>
            <w:vAlign w:val="center"/>
            <w:hideMark/>
          </w:tcPr>
          <w:p w14:paraId="41890A00" w14:textId="77777777" w:rsidR="000A1008" w:rsidRPr="00BA287B" w:rsidRDefault="000A1008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 xml:space="preserve">1 106 274 260 </w:t>
            </w:r>
          </w:p>
        </w:tc>
        <w:tc>
          <w:tcPr>
            <w:tcW w:w="1701" w:type="dxa"/>
            <w:vAlign w:val="center"/>
            <w:hideMark/>
          </w:tcPr>
          <w:p w14:paraId="4151856E" w14:textId="77777777" w:rsidR="000A1008" w:rsidRPr="00BA287B" w:rsidRDefault="000A1008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32"/>
              </w:rPr>
              <w:t>129,24%</w:t>
            </w:r>
          </w:p>
        </w:tc>
      </w:tr>
    </w:tbl>
    <w:p w14:paraId="02DA75B1" w14:textId="77777777" w:rsidR="004F6441" w:rsidRDefault="004F6441" w:rsidP="004F644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11E1B8D5" w14:textId="77777777" w:rsidR="00F14D17" w:rsidRDefault="004F6441" w:rsidP="004F6441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1,106 mld. EUR, pričom plán bol zakontrahovať 856,01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1</w:t>
      </w:r>
      <w:r w:rsidR="00F14D17">
        <w:rPr>
          <w:rFonts w:cstheme="minorHAnsi"/>
          <w:b/>
          <w:color w:val="000000" w:themeColor="text1"/>
          <w:szCs w:val="32"/>
        </w:rPr>
        <w:t>29,</w:t>
      </w:r>
      <w:r w:rsidR="00F14D17" w:rsidRPr="00F14D17">
        <w:rPr>
          <w:rFonts w:cstheme="minorHAnsi"/>
          <w:b/>
          <w:color w:val="000000" w:themeColor="text1"/>
          <w:szCs w:val="32"/>
        </w:rPr>
        <w:t>24</w:t>
      </w:r>
      <w:r w:rsidRPr="00F14D17">
        <w:rPr>
          <w:rFonts w:cstheme="minorHAnsi"/>
          <w:b/>
          <w:color w:val="000000" w:themeColor="text1"/>
          <w:szCs w:val="32"/>
        </w:rPr>
        <w:t xml:space="preserve"> %. </w:t>
      </w:r>
      <w:r w:rsidR="00F14D17" w:rsidRPr="00F14D17">
        <w:rPr>
          <w:rFonts w:cstheme="minorHAnsi"/>
          <w:b/>
          <w:color w:val="000000" w:themeColor="text1"/>
          <w:szCs w:val="32"/>
        </w:rPr>
        <w:t>Plnenie plánu je v rámci všetkých fondov nad 100 %.</w:t>
      </w:r>
    </w:p>
    <w:p w14:paraId="1B7C7955" w14:textId="77777777" w:rsidR="000A1008" w:rsidRDefault="000904F2" w:rsidP="00E9495C">
      <w:pPr>
        <w:pStyle w:val="Nadpis2"/>
        <w:tabs>
          <w:tab w:val="left" w:pos="426"/>
        </w:tabs>
        <w:rPr>
          <w:rFonts w:eastAsiaTheme="minorHAnsi" w:cstheme="minorBidi"/>
        </w:rPr>
      </w:pPr>
      <w:bookmarkStart w:id="26" w:name="_Toc193446291"/>
      <w:r w:rsidRPr="006F3E00">
        <w:lastRenderedPageBreak/>
        <w:t xml:space="preserve">Plnenie </w:t>
      </w:r>
      <w:r w:rsidRPr="006F3E00">
        <w:rPr>
          <w:rFonts w:eastAsiaTheme="minorHAnsi"/>
        </w:rPr>
        <w:t xml:space="preserve">investičného plánu kontrahovania za </w:t>
      </w:r>
      <w:r w:rsidR="00BA287B" w:rsidRPr="00BA287B">
        <w:rPr>
          <w:rFonts w:eastAsiaTheme="minorHAnsi" w:cstheme="minorBidi"/>
        </w:rPr>
        <w:t>MŠVVM SR</w:t>
      </w:r>
      <w:bookmarkEnd w:id="26"/>
    </w:p>
    <w:p w14:paraId="114773F8" w14:textId="77777777" w:rsidR="00BA287B" w:rsidRPr="00BA287B" w:rsidRDefault="00BA287B" w:rsidP="00BA287B">
      <w:pPr>
        <w:spacing w:after="0" w:line="240" w:lineRule="auto"/>
        <w:rPr>
          <w:b/>
          <w:color w:val="000000" w:themeColor="text1"/>
          <w:szCs w:val="32"/>
        </w:rPr>
      </w:pPr>
      <w:r w:rsidRPr="00E738D3">
        <w:rPr>
          <w:color w:val="000000" w:themeColor="text1"/>
          <w:szCs w:val="32"/>
        </w:rPr>
        <w:t xml:space="preserve">Tab. č. </w:t>
      </w:r>
      <w:r>
        <w:rPr>
          <w:color w:val="000000" w:themeColor="text1"/>
          <w:szCs w:val="32"/>
        </w:rPr>
        <w:t>16</w:t>
      </w:r>
      <w:r w:rsidRPr="00E738D3">
        <w:rPr>
          <w:color w:val="000000" w:themeColor="text1"/>
          <w:szCs w:val="32"/>
        </w:rPr>
        <w:t xml:space="preserve"> Preh</w:t>
      </w:r>
      <w:r>
        <w:rPr>
          <w:color w:val="000000" w:themeColor="text1"/>
          <w:szCs w:val="32"/>
        </w:rPr>
        <w:t xml:space="preserve">ľad plnenia Investičných plánov </w:t>
      </w:r>
      <w:r w:rsidRPr="00BA287B">
        <w:rPr>
          <w:color w:val="000000" w:themeColor="text1"/>
          <w:szCs w:val="32"/>
        </w:rPr>
        <w:t>MŠVVM SR</w:t>
      </w:r>
    </w:p>
    <w:tbl>
      <w:tblPr>
        <w:tblStyle w:val="Tabukasozoznamom1svetl"/>
        <w:tblW w:w="0" w:type="auto"/>
        <w:tblLook w:val="04A0" w:firstRow="1" w:lastRow="0" w:firstColumn="1" w:lastColumn="0" w:noHBand="0" w:noVBand="1"/>
      </w:tblPr>
      <w:tblGrid>
        <w:gridCol w:w="1091"/>
        <w:gridCol w:w="1300"/>
        <w:gridCol w:w="1711"/>
        <w:gridCol w:w="1562"/>
        <w:gridCol w:w="1568"/>
        <w:gridCol w:w="1837"/>
      </w:tblGrid>
      <w:tr w:rsidR="00BA287B" w:rsidRPr="00BA287B" w14:paraId="78F44762" w14:textId="77777777" w:rsidTr="00F14D1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" w:type="dxa"/>
            <w:vAlign w:val="center"/>
            <w:hideMark/>
          </w:tcPr>
          <w:p w14:paraId="7D38AC8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Fond</w:t>
            </w:r>
          </w:p>
        </w:tc>
        <w:tc>
          <w:tcPr>
            <w:tcW w:w="1300" w:type="dxa"/>
            <w:vAlign w:val="center"/>
            <w:hideMark/>
          </w:tcPr>
          <w:p w14:paraId="023EF90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Kategória regiónov</w:t>
            </w:r>
          </w:p>
        </w:tc>
        <w:tc>
          <w:tcPr>
            <w:tcW w:w="1711" w:type="dxa"/>
            <w:vAlign w:val="center"/>
            <w:hideMark/>
          </w:tcPr>
          <w:p w14:paraId="44E365EB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Alokácia</w:t>
            </w:r>
          </w:p>
        </w:tc>
        <w:tc>
          <w:tcPr>
            <w:tcW w:w="1562" w:type="dxa"/>
            <w:vAlign w:val="center"/>
            <w:hideMark/>
          </w:tcPr>
          <w:p w14:paraId="62C9B7F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Plán kontrahovania</w:t>
            </w:r>
          </w:p>
        </w:tc>
        <w:tc>
          <w:tcPr>
            <w:tcW w:w="1568" w:type="dxa"/>
            <w:vAlign w:val="center"/>
            <w:hideMark/>
          </w:tcPr>
          <w:p w14:paraId="6FA2AC0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Kontrahovanie (brutto) </w:t>
            </w: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br/>
              <w:t>k 31.12.2024</w:t>
            </w:r>
          </w:p>
        </w:tc>
        <w:tc>
          <w:tcPr>
            <w:tcW w:w="1837" w:type="dxa"/>
            <w:vAlign w:val="center"/>
            <w:hideMark/>
          </w:tcPr>
          <w:p w14:paraId="4EADB48C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% plnenia plánu kontrahovania k 31.12.2024</w:t>
            </w:r>
          </w:p>
        </w:tc>
      </w:tr>
      <w:tr w:rsidR="00BA287B" w:rsidRPr="00BA287B" w14:paraId="30C4FBD5" w14:textId="77777777" w:rsidTr="00F14D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" w:type="dxa"/>
            <w:noWrap/>
            <w:vAlign w:val="center"/>
            <w:hideMark/>
          </w:tcPr>
          <w:p w14:paraId="4E63635A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  <w:t>EFRR</w:t>
            </w:r>
          </w:p>
        </w:tc>
        <w:tc>
          <w:tcPr>
            <w:tcW w:w="1300" w:type="dxa"/>
            <w:noWrap/>
            <w:vAlign w:val="center"/>
            <w:hideMark/>
          </w:tcPr>
          <w:p w14:paraId="55E74B23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VR</w:t>
            </w:r>
          </w:p>
        </w:tc>
        <w:tc>
          <w:tcPr>
            <w:tcW w:w="1711" w:type="dxa"/>
            <w:noWrap/>
            <w:vAlign w:val="center"/>
            <w:hideMark/>
          </w:tcPr>
          <w:p w14:paraId="253A5695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80 840 573 </w:t>
            </w:r>
          </w:p>
        </w:tc>
        <w:tc>
          <w:tcPr>
            <w:tcW w:w="1562" w:type="dxa"/>
            <w:noWrap/>
            <w:vAlign w:val="center"/>
            <w:hideMark/>
          </w:tcPr>
          <w:p w14:paraId="4A1855F0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46 312 000 </w:t>
            </w:r>
          </w:p>
        </w:tc>
        <w:tc>
          <w:tcPr>
            <w:tcW w:w="1568" w:type="dxa"/>
            <w:noWrap/>
            <w:vAlign w:val="center"/>
            <w:hideMark/>
          </w:tcPr>
          <w:p w14:paraId="22A5C0CA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9 508 589 </w:t>
            </w:r>
          </w:p>
        </w:tc>
        <w:tc>
          <w:tcPr>
            <w:tcW w:w="1837" w:type="dxa"/>
            <w:vAlign w:val="center"/>
            <w:hideMark/>
          </w:tcPr>
          <w:p w14:paraId="4BE1CEBD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20,53%</w:t>
            </w:r>
          </w:p>
        </w:tc>
      </w:tr>
      <w:tr w:rsidR="00BA287B" w:rsidRPr="00BA287B" w14:paraId="4D6EA39F" w14:textId="77777777" w:rsidTr="00F14D1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" w:type="dxa"/>
            <w:noWrap/>
            <w:vAlign w:val="center"/>
            <w:hideMark/>
          </w:tcPr>
          <w:p w14:paraId="0FFDE5AF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  <w:t>EFRR</w:t>
            </w:r>
          </w:p>
        </w:tc>
        <w:tc>
          <w:tcPr>
            <w:tcW w:w="1300" w:type="dxa"/>
            <w:noWrap/>
            <w:vAlign w:val="center"/>
            <w:hideMark/>
          </w:tcPr>
          <w:p w14:paraId="1A61331C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MR</w:t>
            </w:r>
          </w:p>
        </w:tc>
        <w:tc>
          <w:tcPr>
            <w:tcW w:w="1711" w:type="dxa"/>
            <w:noWrap/>
            <w:vAlign w:val="center"/>
            <w:hideMark/>
          </w:tcPr>
          <w:p w14:paraId="1DF2660E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537 976 897 </w:t>
            </w:r>
          </w:p>
        </w:tc>
        <w:tc>
          <w:tcPr>
            <w:tcW w:w="1562" w:type="dxa"/>
            <w:noWrap/>
            <w:vAlign w:val="center"/>
            <w:hideMark/>
          </w:tcPr>
          <w:p w14:paraId="7741F95B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267 388 000 </w:t>
            </w:r>
          </w:p>
        </w:tc>
        <w:tc>
          <w:tcPr>
            <w:tcW w:w="1568" w:type="dxa"/>
            <w:noWrap/>
            <w:vAlign w:val="center"/>
            <w:hideMark/>
          </w:tcPr>
          <w:p w14:paraId="390802D5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33 000 976 </w:t>
            </w:r>
          </w:p>
        </w:tc>
        <w:tc>
          <w:tcPr>
            <w:tcW w:w="1837" w:type="dxa"/>
            <w:vAlign w:val="center"/>
            <w:hideMark/>
          </w:tcPr>
          <w:p w14:paraId="03617914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12,34%</w:t>
            </w:r>
          </w:p>
        </w:tc>
      </w:tr>
      <w:tr w:rsidR="00BA287B" w:rsidRPr="00BA287B" w14:paraId="09B5BB6E" w14:textId="77777777" w:rsidTr="00F14D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" w:type="dxa"/>
            <w:noWrap/>
            <w:vAlign w:val="center"/>
            <w:hideMark/>
          </w:tcPr>
          <w:p w14:paraId="2887DCCF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  <w:t>ESF+</w:t>
            </w:r>
          </w:p>
        </w:tc>
        <w:tc>
          <w:tcPr>
            <w:tcW w:w="1300" w:type="dxa"/>
            <w:noWrap/>
            <w:vAlign w:val="center"/>
            <w:hideMark/>
          </w:tcPr>
          <w:p w14:paraId="7F2EC710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VR</w:t>
            </w:r>
          </w:p>
        </w:tc>
        <w:tc>
          <w:tcPr>
            <w:tcW w:w="1711" w:type="dxa"/>
            <w:noWrap/>
            <w:vAlign w:val="center"/>
            <w:hideMark/>
          </w:tcPr>
          <w:p w14:paraId="4097B729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10 130 488 </w:t>
            </w:r>
          </w:p>
        </w:tc>
        <w:tc>
          <w:tcPr>
            <w:tcW w:w="1562" w:type="dxa"/>
            <w:noWrap/>
            <w:vAlign w:val="center"/>
            <w:hideMark/>
          </w:tcPr>
          <w:p w14:paraId="175A6D99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3 039 146 </w:t>
            </w:r>
          </w:p>
        </w:tc>
        <w:tc>
          <w:tcPr>
            <w:tcW w:w="1568" w:type="dxa"/>
            <w:noWrap/>
            <w:vAlign w:val="center"/>
            <w:hideMark/>
          </w:tcPr>
          <w:p w14:paraId="032B47EC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956 151 </w:t>
            </w:r>
          </w:p>
        </w:tc>
        <w:tc>
          <w:tcPr>
            <w:tcW w:w="1837" w:type="dxa"/>
            <w:vAlign w:val="center"/>
            <w:hideMark/>
          </w:tcPr>
          <w:p w14:paraId="2E72EB3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31,46%</w:t>
            </w:r>
          </w:p>
        </w:tc>
      </w:tr>
      <w:tr w:rsidR="00BA287B" w:rsidRPr="00BA287B" w14:paraId="4950C95E" w14:textId="77777777" w:rsidTr="00F14D1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" w:type="dxa"/>
            <w:noWrap/>
            <w:vAlign w:val="center"/>
            <w:hideMark/>
          </w:tcPr>
          <w:p w14:paraId="1BE42269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 w:val="0"/>
                <w:color w:val="000000" w:themeColor="text1"/>
                <w:sz w:val="22"/>
                <w:szCs w:val="22"/>
              </w:rPr>
              <w:t>ESF+</w:t>
            </w:r>
          </w:p>
        </w:tc>
        <w:tc>
          <w:tcPr>
            <w:tcW w:w="1300" w:type="dxa"/>
            <w:noWrap/>
            <w:vAlign w:val="center"/>
            <w:hideMark/>
          </w:tcPr>
          <w:p w14:paraId="1A08D982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MR</w:t>
            </w:r>
          </w:p>
        </w:tc>
        <w:tc>
          <w:tcPr>
            <w:tcW w:w="1711" w:type="dxa"/>
            <w:noWrap/>
            <w:vAlign w:val="center"/>
            <w:hideMark/>
          </w:tcPr>
          <w:p w14:paraId="608D0F04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411 044 282 </w:t>
            </w:r>
          </w:p>
        </w:tc>
        <w:tc>
          <w:tcPr>
            <w:tcW w:w="1562" w:type="dxa"/>
            <w:noWrap/>
            <w:vAlign w:val="center"/>
            <w:hideMark/>
          </w:tcPr>
          <w:p w14:paraId="1E85EE89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205 522 141 </w:t>
            </w:r>
          </w:p>
        </w:tc>
        <w:tc>
          <w:tcPr>
            <w:tcW w:w="1568" w:type="dxa"/>
            <w:noWrap/>
            <w:vAlign w:val="center"/>
            <w:hideMark/>
          </w:tcPr>
          <w:p w14:paraId="131CCEB2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301 095 265 </w:t>
            </w:r>
          </w:p>
        </w:tc>
        <w:tc>
          <w:tcPr>
            <w:tcW w:w="1837" w:type="dxa"/>
            <w:vAlign w:val="center"/>
            <w:hideMark/>
          </w:tcPr>
          <w:p w14:paraId="53323CBC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146,50%</w:t>
            </w:r>
          </w:p>
        </w:tc>
      </w:tr>
      <w:tr w:rsidR="00BA287B" w:rsidRPr="00BA287B" w14:paraId="4F272B97" w14:textId="77777777" w:rsidTr="00F14D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1" w:type="dxa"/>
            <w:gridSpan w:val="2"/>
            <w:noWrap/>
            <w:vAlign w:val="center"/>
            <w:hideMark/>
          </w:tcPr>
          <w:p w14:paraId="3B4A0985" w14:textId="77777777" w:rsidR="00BA287B" w:rsidRPr="00BA287B" w:rsidRDefault="00BA287B" w:rsidP="00BA287B">
            <w:pPr>
              <w:pStyle w:val="paragraph"/>
              <w:spacing w:before="120" w:after="120"/>
              <w:jc w:val="both"/>
              <w:textAlignment w:val="baseline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Spolu</w:t>
            </w:r>
          </w:p>
        </w:tc>
        <w:tc>
          <w:tcPr>
            <w:tcW w:w="1711" w:type="dxa"/>
            <w:noWrap/>
            <w:vAlign w:val="center"/>
            <w:hideMark/>
          </w:tcPr>
          <w:p w14:paraId="225BFC26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1 039 992 240 </w:t>
            </w:r>
          </w:p>
        </w:tc>
        <w:tc>
          <w:tcPr>
            <w:tcW w:w="1562" w:type="dxa"/>
            <w:noWrap/>
            <w:vAlign w:val="center"/>
            <w:hideMark/>
          </w:tcPr>
          <w:p w14:paraId="3DE5068F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522 261 287 </w:t>
            </w:r>
          </w:p>
        </w:tc>
        <w:tc>
          <w:tcPr>
            <w:tcW w:w="1568" w:type="dxa"/>
            <w:noWrap/>
            <w:vAlign w:val="center"/>
            <w:hideMark/>
          </w:tcPr>
          <w:p w14:paraId="1639841A" w14:textId="77777777" w:rsidR="00BA287B" w:rsidRPr="00BA287B" w:rsidRDefault="00BA287B" w:rsidP="00BA287B">
            <w:pPr>
              <w:pStyle w:val="paragraph"/>
              <w:spacing w:before="120" w:after="120"/>
              <w:jc w:val="right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344 560 981 </w:t>
            </w:r>
          </w:p>
        </w:tc>
        <w:tc>
          <w:tcPr>
            <w:tcW w:w="1837" w:type="dxa"/>
            <w:vAlign w:val="center"/>
            <w:hideMark/>
          </w:tcPr>
          <w:p w14:paraId="378D9F5B" w14:textId="77777777" w:rsidR="00BA287B" w:rsidRPr="00BA287B" w:rsidRDefault="00BA287B" w:rsidP="00BA287B">
            <w:pPr>
              <w:pStyle w:val="paragraph"/>
              <w:spacing w:before="120" w:after="12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BA287B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65,97%</w:t>
            </w:r>
          </w:p>
        </w:tc>
      </w:tr>
    </w:tbl>
    <w:p w14:paraId="2CC02F46" w14:textId="77777777" w:rsidR="00F14D17" w:rsidRDefault="00F14D17" w:rsidP="00F14D1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63E26E17" w14:textId="332CF4ED" w:rsidR="00F14D17" w:rsidRDefault="00F14D17" w:rsidP="00F14D1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>
        <w:rPr>
          <w:rFonts w:cstheme="minorHAnsi"/>
          <w:color w:val="000000" w:themeColor="text1"/>
          <w:szCs w:val="32"/>
        </w:rPr>
        <w:t xml:space="preserve">K 31. 12. 2024 je kontrahovanie 344,56 mil. EUR, pričom plán bol zakontrahovať 522,26 mil. EUR. </w:t>
      </w:r>
      <w:r w:rsidRPr="00DE26B5">
        <w:rPr>
          <w:rFonts w:cstheme="minorHAnsi"/>
          <w:b/>
          <w:color w:val="000000" w:themeColor="text1"/>
          <w:szCs w:val="32"/>
        </w:rPr>
        <w:t>Plnen</w:t>
      </w:r>
      <w:r>
        <w:rPr>
          <w:rFonts w:cstheme="minorHAnsi"/>
          <w:b/>
          <w:color w:val="000000" w:themeColor="text1"/>
          <w:szCs w:val="32"/>
        </w:rPr>
        <w:t>i</w:t>
      </w:r>
      <w:r w:rsidRPr="00DE26B5">
        <w:rPr>
          <w:rFonts w:cstheme="minorHAnsi"/>
          <w:b/>
          <w:color w:val="000000" w:themeColor="text1"/>
          <w:szCs w:val="32"/>
        </w:rPr>
        <w:t xml:space="preserve">e plánu je na úrovni </w:t>
      </w:r>
      <w:r>
        <w:rPr>
          <w:rFonts w:cstheme="minorHAnsi"/>
          <w:b/>
          <w:color w:val="000000" w:themeColor="text1"/>
          <w:szCs w:val="32"/>
        </w:rPr>
        <w:t>65,97</w:t>
      </w:r>
      <w:r w:rsidRPr="00DE26B5">
        <w:rPr>
          <w:rFonts w:cstheme="minorHAnsi"/>
          <w:b/>
          <w:color w:val="000000" w:themeColor="text1"/>
          <w:szCs w:val="32"/>
        </w:rPr>
        <w:t xml:space="preserve"> %</w:t>
      </w:r>
      <w:r>
        <w:rPr>
          <w:rFonts w:cstheme="minorHAnsi"/>
          <w:color w:val="000000" w:themeColor="text1"/>
          <w:szCs w:val="32"/>
        </w:rPr>
        <w:t>.</w:t>
      </w:r>
      <w:r w:rsidRPr="00F14D17">
        <w:rPr>
          <w:rFonts w:cstheme="minorHAnsi"/>
          <w:color w:val="000000" w:themeColor="text1"/>
          <w:szCs w:val="32"/>
        </w:rPr>
        <w:t xml:space="preserve"> </w:t>
      </w:r>
      <w:r>
        <w:rPr>
          <w:rFonts w:cstheme="minorHAnsi"/>
          <w:color w:val="000000" w:themeColor="text1"/>
          <w:szCs w:val="32"/>
        </w:rPr>
        <w:t xml:space="preserve">V rámci </w:t>
      </w:r>
      <w:r w:rsidR="00D82B2A">
        <w:rPr>
          <w:rFonts w:cstheme="minorHAnsi"/>
          <w:color w:val="000000" w:themeColor="text1"/>
          <w:szCs w:val="32"/>
        </w:rPr>
        <w:t xml:space="preserve">jednotlivých fondov je najvyššie plnenie za </w:t>
      </w:r>
      <w:r>
        <w:rPr>
          <w:rFonts w:cstheme="minorHAnsi"/>
          <w:color w:val="000000" w:themeColor="text1"/>
          <w:szCs w:val="32"/>
        </w:rPr>
        <w:t>ESF+ menej rozvinutý región</w:t>
      </w:r>
      <w:r w:rsidR="00D82B2A">
        <w:rPr>
          <w:rFonts w:cstheme="minorHAnsi"/>
          <w:color w:val="000000" w:themeColor="text1"/>
          <w:szCs w:val="32"/>
        </w:rPr>
        <w:t xml:space="preserve"> (</w:t>
      </w:r>
      <w:r>
        <w:rPr>
          <w:rFonts w:cstheme="minorHAnsi"/>
          <w:color w:val="000000" w:themeColor="text1"/>
          <w:szCs w:val="32"/>
        </w:rPr>
        <w:t>146,50 %</w:t>
      </w:r>
      <w:r w:rsidR="00D82B2A">
        <w:rPr>
          <w:rFonts w:cstheme="minorHAnsi"/>
          <w:color w:val="000000" w:themeColor="text1"/>
          <w:szCs w:val="32"/>
        </w:rPr>
        <w:t xml:space="preserve">). Pri ESF+ viac rozvinutý región je plnenie len 31,46 %, avšak ide o výrazne nižšiu alokáciu ako je pri menej rozvinutom regióne. </w:t>
      </w:r>
      <w:r w:rsidR="00D82B2A" w:rsidRPr="00D82B2A">
        <w:rPr>
          <w:rFonts w:cstheme="minorHAnsi"/>
          <w:b/>
          <w:color w:val="000000" w:themeColor="text1"/>
          <w:szCs w:val="32"/>
        </w:rPr>
        <w:t>V</w:t>
      </w:r>
      <w:r w:rsidRPr="00D82B2A">
        <w:rPr>
          <w:rFonts w:cstheme="minorHAnsi"/>
          <w:b/>
          <w:color w:val="000000" w:themeColor="text1"/>
          <w:szCs w:val="32"/>
        </w:rPr>
        <w:t xml:space="preserve"> rámci EFRR </w:t>
      </w:r>
      <w:r w:rsidR="00D82B2A" w:rsidRPr="00D82B2A">
        <w:rPr>
          <w:rFonts w:cstheme="minorHAnsi"/>
          <w:b/>
          <w:color w:val="000000" w:themeColor="text1"/>
          <w:szCs w:val="32"/>
        </w:rPr>
        <w:t xml:space="preserve">je pri oboch regiónoch nízke </w:t>
      </w:r>
      <w:r w:rsidRPr="00D82B2A">
        <w:rPr>
          <w:rFonts w:cstheme="minorHAnsi"/>
          <w:b/>
          <w:color w:val="000000" w:themeColor="text1"/>
          <w:szCs w:val="32"/>
        </w:rPr>
        <w:t>plnenie</w:t>
      </w:r>
      <w:r w:rsidR="00D82B2A">
        <w:rPr>
          <w:rFonts w:cstheme="minorHAnsi"/>
          <w:color w:val="000000" w:themeColor="text1"/>
          <w:szCs w:val="32"/>
        </w:rPr>
        <w:t>, v rámci viac rozvinutého regiónu je na úrovni 20,53 % a v rámci menej rozvinutého regiónu je to len 12,34 %</w:t>
      </w:r>
      <w:r w:rsidRPr="00E24F4C">
        <w:rPr>
          <w:rFonts w:cstheme="minorHAnsi"/>
          <w:color w:val="000000" w:themeColor="text1"/>
          <w:szCs w:val="32"/>
        </w:rPr>
        <w:t>.</w:t>
      </w:r>
    </w:p>
    <w:p w14:paraId="5EBCE935" w14:textId="77777777" w:rsidR="00411B5E" w:rsidRDefault="00411B5E" w:rsidP="00F14D17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</w:p>
    <w:p w14:paraId="4F1284CF" w14:textId="6C4187BB" w:rsidR="00902872" w:rsidRPr="00E9495C" w:rsidRDefault="00902872" w:rsidP="00411B5E">
      <w:pPr>
        <w:pStyle w:val="Nadpis3"/>
        <w:ind w:left="1004"/>
      </w:pPr>
      <w:bookmarkStart w:id="27" w:name="_Toc193446292"/>
      <w:r w:rsidRPr="00E9495C">
        <w:t>Dôvody  nenaplnenia Investičného plánu</w:t>
      </w:r>
      <w:bookmarkEnd w:id="27"/>
    </w:p>
    <w:p w14:paraId="346F9ADA" w14:textId="24C615E2" w:rsidR="00902872" w:rsidRDefault="00AA25EE" w:rsidP="00AA25EE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 w:rsidRPr="00564699">
        <w:rPr>
          <w:rFonts w:cstheme="minorHAnsi"/>
          <w:b/>
          <w:color w:val="000000" w:themeColor="text1"/>
          <w:szCs w:val="32"/>
        </w:rPr>
        <w:t>Komplexnosť národných projektov v oblasti výskumu</w:t>
      </w:r>
      <w:r w:rsidRPr="00AA25EE">
        <w:rPr>
          <w:rFonts w:cstheme="minorHAnsi"/>
          <w:color w:val="000000" w:themeColor="text1"/>
          <w:szCs w:val="32"/>
        </w:rPr>
        <w:t xml:space="preserve"> – </w:t>
      </w:r>
      <w:r w:rsidR="00902872">
        <w:rPr>
          <w:rFonts w:cstheme="minorHAnsi"/>
          <w:color w:val="000000" w:themeColor="text1"/>
          <w:szCs w:val="32"/>
        </w:rPr>
        <w:t>t</w:t>
      </w:r>
      <w:r w:rsidRPr="00AA25EE">
        <w:rPr>
          <w:rFonts w:cstheme="minorHAnsi"/>
          <w:color w:val="000000" w:themeColor="text1"/>
          <w:szCs w:val="32"/>
        </w:rPr>
        <w:t>ento faktor je časovo náročný, a to najmä kvôli posudzovaniu zámerov zo strany Útvaru hodnoty za peniaze (ÚHP) Ministerstva financií SR</w:t>
      </w:r>
      <w:r w:rsidR="005647AB">
        <w:rPr>
          <w:rFonts w:cstheme="minorHAnsi"/>
          <w:color w:val="000000" w:themeColor="text1"/>
          <w:szCs w:val="32"/>
        </w:rPr>
        <w:br/>
      </w:r>
      <w:r w:rsidRPr="00AA25EE">
        <w:rPr>
          <w:rFonts w:cstheme="minorHAnsi"/>
          <w:color w:val="000000" w:themeColor="text1"/>
          <w:szCs w:val="32"/>
        </w:rPr>
        <w:t>a následnému posudzovaniu podľa vyhlášky č. 401 Ministerstva investícií, regionálneho rozvoja</w:t>
      </w:r>
      <w:r w:rsidR="005647AB">
        <w:rPr>
          <w:rFonts w:cstheme="minorHAnsi"/>
          <w:color w:val="000000" w:themeColor="text1"/>
          <w:szCs w:val="32"/>
        </w:rPr>
        <w:br/>
      </w:r>
      <w:r w:rsidRPr="00AA25EE">
        <w:rPr>
          <w:rFonts w:cstheme="minorHAnsi"/>
          <w:color w:val="000000" w:themeColor="text1"/>
          <w:szCs w:val="32"/>
        </w:rPr>
        <w:t xml:space="preserve">a informatizácie Slovenskej republiky z 9. októbra 2023 o riadení projektov a zmenových požiadaviek v prevádzke informačných technológií verejnej správy. </w:t>
      </w:r>
    </w:p>
    <w:p w14:paraId="342AA062" w14:textId="4D4A3F6A" w:rsidR="00AA25EE" w:rsidRPr="00AA25EE" w:rsidRDefault="00AA25EE" w:rsidP="00AA25EE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 w:rsidRPr="00AA25EE">
        <w:rPr>
          <w:rFonts w:cstheme="minorHAnsi"/>
          <w:color w:val="000000" w:themeColor="text1"/>
          <w:szCs w:val="32"/>
        </w:rPr>
        <w:t>Tento proces ovplyvnil termín predkladania a schvaľovania projektových zámerov na Komisii pre Cieľ 1 a následné vyhlásenie výziev (výzvu pre národné projekty je možné vyhlásiť až po schválení ich zámeru).</w:t>
      </w:r>
    </w:p>
    <w:p w14:paraId="6257950F" w14:textId="1CECFBAB" w:rsidR="00AA25EE" w:rsidRPr="00AA25EE" w:rsidRDefault="00AA25EE" w:rsidP="00AA25EE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 w:rsidRPr="00564699">
        <w:rPr>
          <w:rFonts w:cstheme="minorHAnsi"/>
          <w:b/>
          <w:color w:val="000000" w:themeColor="text1"/>
          <w:szCs w:val="32"/>
        </w:rPr>
        <w:t>Synergické opatrenia k Plánu obnovy a odolnosti</w:t>
      </w:r>
      <w:r w:rsidRPr="00AA25EE">
        <w:rPr>
          <w:rFonts w:cstheme="minorHAnsi"/>
          <w:color w:val="000000" w:themeColor="text1"/>
          <w:szCs w:val="32"/>
        </w:rPr>
        <w:t xml:space="preserve"> – </w:t>
      </w:r>
      <w:r w:rsidR="001A4053">
        <w:rPr>
          <w:rFonts w:cstheme="minorHAnsi"/>
          <w:color w:val="000000" w:themeColor="text1"/>
          <w:szCs w:val="32"/>
        </w:rPr>
        <w:t>z</w:t>
      </w:r>
      <w:r w:rsidRPr="00AA25EE">
        <w:rPr>
          <w:rFonts w:cstheme="minorHAnsi"/>
          <w:color w:val="000000" w:themeColor="text1"/>
          <w:szCs w:val="32"/>
        </w:rPr>
        <w:t>načná časť alokácie (za špecifický cieľ 1.1. to predstavuje cca 34% alokácie) je previazaná so synergickými opatreniami k Plánu obnovy a odolnosti, pričom bolo (a stále je) potrebné vyhodnotiť výsledky projektov realizovaných v rámci Plánu obnovy</w:t>
      </w:r>
      <w:r w:rsidR="005647AB">
        <w:rPr>
          <w:rFonts w:cstheme="minorHAnsi"/>
          <w:color w:val="000000" w:themeColor="text1"/>
          <w:szCs w:val="32"/>
        </w:rPr>
        <w:br/>
      </w:r>
      <w:r w:rsidRPr="00AA25EE">
        <w:rPr>
          <w:rFonts w:cstheme="minorHAnsi"/>
          <w:color w:val="000000" w:themeColor="text1"/>
          <w:szCs w:val="32"/>
        </w:rPr>
        <w:t>a odolnosti a jasne definovať dopyt.</w:t>
      </w:r>
    </w:p>
    <w:p w14:paraId="33AC5819" w14:textId="272C335E" w:rsidR="000C2256" w:rsidRDefault="00AA25EE" w:rsidP="00AA25EE">
      <w:pPr>
        <w:spacing w:after="0" w:line="240" w:lineRule="auto"/>
        <w:jc w:val="both"/>
        <w:rPr>
          <w:rFonts w:cstheme="minorHAnsi"/>
          <w:color w:val="000000" w:themeColor="text1"/>
          <w:szCs w:val="32"/>
        </w:rPr>
      </w:pPr>
      <w:r w:rsidRPr="00564699">
        <w:rPr>
          <w:rFonts w:cstheme="minorHAnsi"/>
          <w:b/>
          <w:color w:val="000000" w:themeColor="text1"/>
          <w:szCs w:val="32"/>
        </w:rPr>
        <w:t xml:space="preserve">Presun finančných prostriedkov do iniciatívy STEP </w:t>
      </w:r>
      <w:r w:rsidRPr="00AA25EE">
        <w:rPr>
          <w:rFonts w:cstheme="minorHAnsi"/>
          <w:color w:val="000000" w:themeColor="text1"/>
          <w:szCs w:val="32"/>
        </w:rPr>
        <w:t xml:space="preserve">– </w:t>
      </w:r>
      <w:r w:rsidR="001E3FDA">
        <w:rPr>
          <w:rFonts w:cstheme="minorHAnsi"/>
          <w:color w:val="000000" w:themeColor="text1"/>
          <w:szCs w:val="32"/>
        </w:rPr>
        <w:t>z</w:t>
      </w:r>
      <w:r w:rsidRPr="00AA25EE">
        <w:rPr>
          <w:rFonts w:cstheme="minorHAnsi"/>
          <w:color w:val="000000" w:themeColor="text1"/>
          <w:szCs w:val="32"/>
        </w:rPr>
        <w:t xml:space="preserve"> roku 2024 spomalil kontrahovanie aj plánovaný presun finančných prostriedkov do iniciatívy STEP v objeme 116 mil. EUR z opatrení 1.1.3, 1.1.4, 1.4.1 (priorita 1P1 Veda, výskum a inovácie) a špecifického cieľa RSO4.2 (4P3 Zručnosti pre lepšiu adaptabilitu a inklúziu). Aktuálne sa procesy spomalili z dôvodu povinnosti schváliť finálnu podobu revízie P</w:t>
      </w:r>
      <w:r w:rsidR="00844027">
        <w:rPr>
          <w:rFonts w:cstheme="minorHAnsi"/>
          <w:color w:val="000000" w:themeColor="text1"/>
          <w:szCs w:val="32"/>
        </w:rPr>
        <w:t xml:space="preserve"> </w:t>
      </w:r>
      <w:r w:rsidRPr="00AA25EE">
        <w:rPr>
          <w:rFonts w:cstheme="minorHAnsi"/>
          <w:color w:val="000000" w:themeColor="text1"/>
          <w:szCs w:val="32"/>
        </w:rPr>
        <w:t>SK a následne predložiť na EK.</w:t>
      </w:r>
    </w:p>
    <w:sectPr w:rsidR="000C2256" w:rsidSect="00300C0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25563B" w14:textId="77777777" w:rsidR="00F53190" w:rsidRDefault="00F53190" w:rsidP="00C17D62">
      <w:pPr>
        <w:spacing w:after="0" w:line="240" w:lineRule="auto"/>
      </w:pPr>
      <w:r>
        <w:separator/>
      </w:r>
    </w:p>
  </w:endnote>
  <w:endnote w:type="continuationSeparator" w:id="0">
    <w:p w14:paraId="72DBC1D8" w14:textId="77777777" w:rsidR="00F53190" w:rsidRDefault="00F53190" w:rsidP="00C17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6323110"/>
      <w:docPartObj>
        <w:docPartGallery w:val="Page Numbers (Bottom of Page)"/>
        <w:docPartUnique/>
      </w:docPartObj>
    </w:sdtPr>
    <w:sdtContent>
      <w:p w14:paraId="0AE2B3EA" w14:textId="77777777" w:rsidR="00F53190" w:rsidRDefault="00F53190">
        <w:pPr>
          <w:pStyle w:val="Pta"/>
          <w:jc w:val="center"/>
        </w:pPr>
        <w:r>
          <w:rPr>
            <w:noProof/>
            <w:lang w:eastAsia="sk-SK"/>
          </w:rPr>
          <mc:AlternateContent>
            <mc:Choice Requires="wpg">
              <w:drawing>
                <wp:inline distT="0" distB="0" distL="0" distR="0" wp14:anchorId="26611A6B" wp14:editId="763F52E9">
                  <wp:extent cx="418465" cy="221615"/>
                  <wp:effectExtent l="0" t="0" r="635" b="0"/>
                  <wp:docPr id="1" name="Skupin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221615"/>
                            <a:chOff x="5351" y="739"/>
                            <a:chExt cx="659" cy="349"/>
                          </a:xfrm>
                        </wpg:grpSpPr>
                        <wps:wsp>
                          <wps:cNvPr id="2" name="Text Box 6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51" y="80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D2FCE0A" w14:textId="3D150A66" w:rsidR="00F53190" w:rsidRDefault="00F53190">
                                <w:pPr>
                                  <w:jc w:val="center"/>
                                  <w:rPr>
                                    <w:szCs w:val="18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BD1D5F" w:rsidRPr="00BD1D5F">
                                  <w:rPr>
                                    <w:i/>
                                    <w:iCs/>
                                    <w:noProof/>
                                    <w:sz w:val="18"/>
                                    <w:szCs w:val="18"/>
                                  </w:rPr>
                                  <w:t>8</w:t>
                                </w:r>
                                <w:r>
                                  <w:rPr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  <wpg:grpSp>
                          <wpg:cNvPr id="3" name="Group 64"/>
                          <wpg:cNvGrpSpPr>
                            <a:grpSpLocks/>
                          </wpg:cNvGrpSpPr>
                          <wpg:grpSpPr bwMode="auto">
                            <a:xfrm>
                              <a:off x="5494" y="739"/>
                              <a:ext cx="372" cy="72"/>
                              <a:chOff x="5486" y="739"/>
                              <a:chExt cx="372" cy="72"/>
                            </a:xfrm>
                          </wpg:grpSpPr>
                          <wps:wsp>
                            <wps:cNvPr id="5" name="Oval 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4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" name="Oval 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63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" name="Oval 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7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wgp>
                    </a:graphicData>
                  </a:graphic>
                </wp:inline>
              </w:drawing>
            </mc:Choice>
            <mc:Fallback>
              <w:pict>
                <v:group w14:anchorId="26611A6B" id="Skupina 1" o:spid="_x0000_s1026" style="width:32.95pt;height:17.45pt;mso-position-horizontal-relative:char;mso-position-vertical-relative:line" coordorigin="5351,739" coordsize="659,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3" o:spid="_x0000_s1027" type="#_x0000_t202" style="position:absolute;left:5351;top:800;width:659;height: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        <v:textbox inset="0,0,0,0">
                      <w:txbxContent>
                        <w:p w14:paraId="4D2FCE0A" w14:textId="3D150A66" w:rsidR="00F53190" w:rsidRDefault="00F53190">
                          <w:pPr>
                            <w:jc w:val="center"/>
                            <w:rPr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BD1D5F" w:rsidRPr="00BD1D5F">
                            <w:rPr>
                              <w:i/>
                              <w:iCs/>
                              <w:noProof/>
                              <w:sz w:val="18"/>
                              <w:szCs w:val="18"/>
                            </w:rPr>
                            <w:t>8</w:t>
                          </w:r>
                          <w:r>
                            <w:rPr>
                              <w:i/>
                              <w:iCs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64" o:spid="_x0000_s1028" style="position:absolute;left:5494;top:739;width:372;height:72" coordorigin="5486,739" coordsize="372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<v:oval id="Oval 65" o:spid="_x0000_s1029" style="position:absolute;left:548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" fillcolor="#84a2c6" stroked="f"/>
                    <v:oval id="Oval 66" o:spid="_x0000_s1030" style="position:absolute;left:563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" fillcolor="#84a2c6" stroked="f"/>
                    <v:oval id="Oval 67" o:spid="_x0000_s1031" style="position:absolute;left:578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" fillcolor="#84a2c6" stroked="f"/>
                  </v:group>
                  <w10:anchorlock/>
                </v:group>
              </w:pict>
            </mc:Fallback>
          </mc:AlternateContent>
        </w:r>
      </w:p>
    </w:sdtContent>
  </w:sdt>
  <w:p w14:paraId="361CE09D" w14:textId="77777777" w:rsidR="00F53190" w:rsidRDefault="00F53190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58CA84" w14:textId="77777777" w:rsidR="00F53190" w:rsidRDefault="00F53190" w:rsidP="00C17D62">
      <w:pPr>
        <w:spacing w:after="0" w:line="240" w:lineRule="auto"/>
      </w:pPr>
      <w:r>
        <w:separator/>
      </w:r>
    </w:p>
  </w:footnote>
  <w:footnote w:type="continuationSeparator" w:id="0">
    <w:p w14:paraId="4D8BDC10" w14:textId="77777777" w:rsidR="00F53190" w:rsidRDefault="00F53190" w:rsidP="00C17D62">
      <w:pPr>
        <w:spacing w:after="0" w:line="240" w:lineRule="auto"/>
      </w:pPr>
      <w:r>
        <w:continuationSeparator/>
      </w:r>
    </w:p>
  </w:footnote>
  <w:footnote w:id="1">
    <w:p w14:paraId="765C9EE4" w14:textId="77777777" w:rsidR="00F53190" w:rsidRPr="003B0923" w:rsidRDefault="00F53190" w:rsidP="00C17D62">
      <w:pPr>
        <w:pStyle w:val="Textpoznmkypodiarou"/>
        <w:jc w:val="both"/>
        <w:rPr>
          <w:sz w:val="16"/>
          <w:szCs w:val="16"/>
        </w:rPr>
      </w:pPr>
      <w:r w:rsidRPr="003B0923">
        <w:rPr>
          <w:rStyle w:val="Odkaznapoznmkupodiarou"/>
          <w:sz w:val="16"/>
          <w:szCs w:val="16"/>
        </w:rPr>
        <w:footnoteRef/>
      </w:r>
      <w:r w:rsidRPr="003B0923">
        <w:rPr>
          <w:sz w:val="16"/>
          <w:szCs w:val="16"/>
        </w:rPr>
        <w:t xml:space="preserve"> </w:t>
      </w:r>
      <w:r>
        <w:rPr>
          <w:sz w:val="16"/>
          <w:szCs w:val="16"/>
        </w:rPr>
        <w:t>Č</w:t>
      </w:r>
      <w:r w:rsidRPr="003B0923">
        <w:rPr>
          <w:sz w:val="16"/>
          <w:szCs w:val="16"/>
        </w:rPr>
        <w:t xml:space="preserve">erpaním sa rozumie </w:t>
      </w:r>
      <w:r w:rsidRPr="00DB31AC">
        <w:rPr>
          <w:sz w:val="16"/>
          <w:szCs w:val="16"/>
        </w:rPr>
        <w:t>čerpanie finančných prostriedkov z fondov EÚ v súlade s bodom 2.2 Usmernenia k štruktúre finančného plánu programu na národnej úrovni a vykazovaniu čerpania programu v programovom období 2021 – 2027 vydaného Ministerstvom financií SR</w:t>
      </w:r>
      <w:r>
        <w:rPr>
          <w:sz w:val="16"/>
          <w:szCs w:val="16"/>
        </w:rPr>
        <w:t>.</w:t>
      </w:r>
    </w:p>
  </w:footnote>
  <w:footnote w:id="2">
    <w:p w14:paraId="5A48808C" w14:textId="77777777" w:rsidR="00F53190" w:rsidRPr="00DB31AC" w:rsidRDefault="00F53190" w:rsidP="00C17D62">
      <w:pPr>
        <w:pStyle w:val="Textpoznmkypodiarou"/>
        <w:jc w:val="both"/>
        <w:rPr>
          <w:rFonts w:cstheme="minorHAnsi"/>
          <w:sz w:val="16"/>
          <w:szCs w:val="16"/>
        </w:rPr>
      </w:pPr>
      <w:r w:rsidRPr="003B0923">
        <w:rPr>
          <w:rStyle w:val="Odkaznapoznmkupodiarou"/>
          <w:sz w:val="16"/>
          <w:szCs w:val="16"/>
        </w:rPr>
        <w:footnoteRef/>
      </w:r>
      <w:r>
        <w:rPr>
          <w:sz w:val="16"/>
          <w:szCs w:val="16"/>
        </w:rPr>
        <w:t xml:space="preserve"> K</w:t>
      </w:r>
      <w:r w:rsidRPr="003B0923">
        <w:rPr>
          <w:rFonts w:cstheme="minorHAnsi"/>
          <w:sz w:val="16"/>
          <w:szCs w:val="16"/>
        </w:rPr>
        <w:t xml:space="preserve">ontrahovaním sa rozumie </w:t>
      </w:r>
      <w:r w:rsidRPr="00DB31AC">
        <w:rPr>
          <w:rFonts w:cstheme="minorHAnsi"/>
          <w:sz w:val="16"/>
          <w:szCs w:val="16"/>
        </w:rPr>
        <w:t>nadobudnutie účinnosti zmluvy uzatvorenej podľa § 22 zákona o príspevkoch z fondov EÚ alebo zmluvy o</w:t>
      </w:r>
      <w:r>
        <w:rPr>
          <w:rFonts w:cstheme="minorHAnsi"/>
          <w:sz w:val="16"/>
          <w:szCs w:val="16"/>
        </w:rPr>
        <w:t> </w:t>
      </w:r>
      <w:r w:rsidRPr="00DB31AC">
        <w:rPr>
          <w:rFonts w:cstheme="minorHAnsi"/>
          <w:sz w:val="16"/>
          <w:szCs w:val="16"/>
        </w:rPr>
        <w:t>financovaní uzatvorenej podľa § 33 zákona o príspevkoch z fondov EÚ alebo právoplatné rozhodnutie o schválení žiadosti podľa § 16 zákona o príspevkoch z fondov EÚ a jej zaevidovanie v informačnom monitorovacom systéme podľa § 48 ods. 3 zákona o príspevkoch z fondov EÚ.</w:t>
      </w:r>
    </w:p>
  </w:footnote>
  <w:footnote w:id="3">
    <w:p w14:paraId="2A784E1B" w14:textId="77777777" w:rsidR="00F53190" w:rsidRPr="00BC43CF" w:rsidRDefault="00F53190" w:rsidP="00FC48C3">
      <w:pPr>
        <w:pStyle w:val="Textpoznmkypodiarou"/>
        <w:jc w:val="both"/>
        <w:rPr>
          <w:sz w:val="16"/>
          <w:szCs w:val="16"/>
        </w:rPr>
      </w:pPr>
      <w:r w:rsidRPr="00BC43CF">
        <w:rPr>
          <w:rStyle w:val="Odkaznapoznmkupodiarou"/>
          <w:sz w:val="16"/>
          <w:szCs w:val="16"/>
        </w:rPr>
        <w:footnoteRef/>
      </w:r>
      <w:r w:rsidRPr="00BC43CF">
        <w:rPr>
          <w:sz w:val="16"/>
          <w:szCs w:val="16"/>
        </w:rPr>
        <w:t xml:space="preserve"> V prípade, že celková úroveň kontrahovania objemu alokácie P SK, s výnimkou Fondu na spravodlivú transformáciu dosiahne aspoň 30 % celkového objemu alokácie, považuje sa plnenie kontrahovania za uspokojivé a nemusí sa iniciovať zmena výšky alokácie prostriedkov SO/IS, ktoré neplnia svoj Investičný plán kontrahovania.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73A16" w14:textId="77777777" w:rsidR="00F53190" w:rsidRDefault="00F53190">
    <w:pPr>
      <w:pStyle w:val="Hlavika"/>
    </w:pPr>
    <w:r w:rsidRPr="005E34D6">
      <w:rPr>
        <w:rFonts w:cstheme="minorHAnsi"/>
        <w:b/>
        <w:noProof/>
        <w:lang w:eastAsia="sk-SK"/>
      </w:rPr>
      <w:drawing>
        <wp:inline distT="0" distB="0" distL="0" distR="0" wp14:anchorId="0CFA6E35" wp14:editId="7E6290FC">
          <wp:extent cx="1916265" cy="442215"/>
          <wp:effectExtent l="0" t="0" r="8255" b="0"/>
          <wp:docPr id="4" name="Obrázok 4" descr="logo mirri farebne s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mirri farebne sk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1967" cy="4550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361BA"/>
    <w:multiLevelType w:val="multilevel"/>
    <w:tmpl w:val="041B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0E6977E6"/>
    <w:multiLevelType w:val="hybridMultilevel"/>
    <w:tmpl w:val="E884946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522D3"/>
    <w:multiLevelType w:val="multilevel"/>
    <w:tmpl w:val="42284B5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Calibri" w:hAnsi="Calibri" w:hint="default"/>
        <w:b w:val="0"/>
        <w:color w:val="2E74B5" w:themeColor="accent1" w:themeShade="BF"/>
      </w:rPr>
    </w:lvl>
    <w:lvl w:ilvl="2">
      <w:start w:val="1"/>
      <w:numFmt w:val="decimal"/>
      <w:lvlText w:val="%1.%2.%3"/>
      <w:lvlJc w:val="left"/>
      <w:pPr>
        <w:ind w:left="2421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1574" w:hanging="864"/>
      </w:pPr>
      <w:rPr>
        <w:rFonts w:hint="default"/>
        <w:color w:val="2E74B5" w:themeColor="accent1" w:themeShade="BF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2B5068AB"/>
    <w:multiLevelType w:val="hybridMultilevel"/>
    <w:tmpl w:val="4432C3FC"/>
    <w:lvl w:ilvl="0" w:tplc="D65891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3974A9"/>
    <w:multiLevelType w:val="multilevel"/>
    <w:tmpl w:val="ACC69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724531B"/>
    <w:multiLevelType w:val="hybridMultilevel"/>
    <w:tmpl w:val="58FE6C82"/>
    <w:lvl w:ilvl="0" w:tplc="412EDFF4">
      <w:start w:val="25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2455B1"/>
    <w:multiLevelType w:val="hybridMultilevel"/>
    <w:tmpl w:val="42727542"/>
    <w:lvl w:ilvl="0" w:tplc="29CE47FA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D60E43"/>
    <w:multiLevelType w:val="multilevel"/>
    <w:tmpl w:val="A6A23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8D5262"/>
    <w:multiLevelType w:val="multilevel"/>
    <w:tmpl w:val="36F81A3C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b w:val="0"/>
      </w:rPr>
    </w:lvl>
    <w:lvl w:ilvl="2">
      <w:start w:val="1"/>
      <w:numFmt w:val="decimal"/>
      <w:pStyle w:val="Nadpis3"/>
      <w:lvlText w:val="%1.%2.%3"/>
      <w:lvlJc w:val="left"/>
      <w:pPr>
        <w:ind w:left="862" w:hanging="720"/>
      </w:pPr>
      <w:rPr>
        <w:b w:val="0"/>
        <w:i w:val="0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778462FD"/>
    <w:multiLevelType w:val="hybridMultilevel"/>
    <w:tmpl w:val="09F20CB2"/>
    <w:lvl w:ilvl="0" w:tplc="48D6A890">
      <w:start w:val="414"/>
      <w:numFmt w:val="bullet"/>
      <w:lvlText w:val="-"/>
      <w:lvlJc w:val="left"/>
      <w:pPr>
        <w:ind w:left="720" w:hanging="360"/>
      </w:pPr>
      <w:rPr>
        <w:rFonts w:ascii="Calibri" w:eastAsiaTheme="majorEastAsia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6"/>
  </w:num>
  <w:num w:numId="5">
    <w:abstractNumId w:val="3"/>
  </w:num>
  <w:num w:numId="6">
    <w:abstractNumId w:val="3"/>
  </w:num>
  <w:num w:numId="7">
    <w:abstractNumId w:val="3"/>
  </w:num>
  <w:num w:numId="8">
    <w:abstractNumId w:val="0"/>
  </w:num>
  <w:num w:numId="9">
    <w:abstractNumId w:val="5"/>
  </w:num>
  <w:num w:numId="10">
    <w:abstractNumId w:val="9"/>
  </w:num>
  <w:num w:numId="11">
    <w:abstractNumId w:val="8"/>
  </w:num>
  <w:num w:numId="12">
    <w:abstractNumId w:val="8"/>
  </w:num>
  <w:num w:numId="13">
    <w:abstractNumId w:val="7"/>
  </w:num>
  <w:num w:numId="14">
    <w:abstractNumId w:val="4"/>
  </w:num>
  <w:num w:numId="15">
    <w:abstractNumId w:val="8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B25"/>
    <w:rsid w:val="00011D0A"/>
    <w:rsid w:val="00011EF0"/>
    <w:rsid w:val="000128E3"/>
    <w:rsid w:val="00013EE6"/>
    <w:rsid w:val="0001679F"/>
    <w:rsid w:val="00024333"/>
    <w:rsid w:val="00040BA3"/>
    <w:rsid w:val="00053350"/>
    <w:rsid w:val="00066A90"/>
    <w:rsid w:val="000762C6"/>
    <w:rsid w:val="000820C4"/>
    <w:rsid w:val="000904F2"/>
    <w:rsid w:val="000A1008"/>
    <w:rsid w:val="000B584C"/>
    <w:rsid w:val="000C2256"/>
    <w:rsid w:val="000C2486"/>
    <w:rsid w:val="000C3A50"/>
    <w:rsid w:val="000C6A65"/>
    <w:rsid w:val="000E27F9"/>
    <w:rsid w:val="000E3A99"/>
    <w:rsid w:val="00117FE6"/>
    <w:rsid w:val="0015552E"/>
    <w:rsid w:val="00174393"/>
    <w:rsid w:val="0017525C"/>
    <w:rsid w:val="00184D69"/>
    <w:rsid w:val="001946B3"/>
    <w:rsid w:val="00197664"/>
    <w:rsid w:val="001A4053"/>
    <w:rsid w:val="001A6BBD"/>
    <w:rsid w:val="001C548F"/>
    <w:rsid w:val="001D41B2"/>
    <w:rsid w:val="001E3FDA"/>
    <w:rsid w:val="00216C1C"/>
    <w:rsid w:val="00217FFC"/>
    <w:rsid w:val="002324F7"/>
    <w:rsid w:val="002336FE"/>
    <w:rsid w:val="00276BE3"/>
    <w:rsid w:val="0028399B"/>
    <w:rsid w:val="002972FE"/>
    <w:rsid w:val="002B0359"/>
    <w:rsid w:val="002C56C5"/>
    <w:rsid w:val="002C6302"/>
    <w:rsid w:val="002E1CBE"/>
    <w:rsid w:val="002E61CC"/>
    <w:rsid w:val="002F07A5"/>
    <w:rsid w:val="002F1232"/>
    <w:rsid w:val="002F3D74"/>
    <w:rsid w:val="00300C08"/>
    <w:rsid w:val="00301D69"/>
    <w:rsid w:val="003274B1"/>
    <w:rsid w:val="00330E7D"/>
    <w:rsid w:val="00364647"/>
    <w:rsid w:val="0037644C"/>
    <w:rsid w:val="00382CE6"/>
    <w:rsid w:val="0039336E"/>
    <w:rsid w:val="003A10FA"/>
    <w:rsid w:val="003A6955"/>
    <w:rsid w:val="003B7719"/>
    <w:rsid w:val="0040195E"/>
    <w:rsid w:val="00411B5E"/>
    <w:rsid w:val="00417B26"/>
    <w:rsid w:val="00422885"/>
    <w:rsid w:val="0042499B"/>
    <w:rsid w:val="00441878"/>
    <w:rsid w:val="0044756D"/>
    <w:rsid w:val="004614D2"/>
    <w:rsid w:val="00473C72"/>
    <w:rsid w:val="00482737"/>
    <w:rsid w:val="00486CEC"/>
    <w:rsid w:val="004C352D"/>
    <w:rsid w:val="004E0D2E"/>
    <w:rsid w:val="004F6441"/>
    <w:rsid w:val="00500F42"/>
    <w:rsid w:val="005155F5"/>
    <w:rsid w:val="005210F3"/>
    <w:rsid w:val="00526454"/>
    <w:rsid w:val="00550257"/>
    <w:rsid w:val="00564699"/>
    <w:rsid w:val="005647AB"/>
    <w:rsid w:val="00574B33"/>
    <w:rsid w:val="0059191D"/>
    <w:rsid w:val="005A44C5"/>
    <w:rsid w:val="005A585C"/>
    <w:rsid w:val="005C3301"/>
    <w:rsid w:val="005F7FA6"/>
    <w:rsid w:val="006246C0"/>
    <w:rsid w:val="00625335"/>
    <w:rsid w:val="006366B3"/>
    <w:rsid w:val="00664F11"/>
    <w:rsid w:val="00672CE6"/>
    <w:rsid w:val="006B282D"/>
    <w:rsid w:val="006C113A"/>
    <w:rsid w:val="006C1923"/>
    <w:rsid w:val="006D0713"/>
    <w:rsid w:val="006D79F6"/>
    <w:rsid w:val="006E53F5"/>
    <w:rsid w:val="006F3B93"/>
    <w:rsid w:val="006F3E00"/>
    <w:rsid w:val="006F571E"/>
    <w:rsid w:val="00715649"/>
    <w:rsid w:val="00766916"/>
    <w:rsid w:val="00766B4E"/>
    <w:rsid w:val="00771706"/>
    <w:rsid w:val="00775AB5"/>
    <w:rsid w:val="00796BE3"/>
    <w:rsid w:val="007A7875"/>
    <w:rsid w:val="007C6892"/>
    <w:rsid w:val="007D7024"/>
    <w:rsid w:val="00810C6A"/>
    <w:rsid w:val="00812D6F"/>
    <w:rsid w:val="0082350F"/>
    <w:rsid w:val="00840A8A"/>
    <w:rsid w:val="00844027"/>
    <w:rsid w:val="00870FD3"/>
    <w:rsid w:val="00873244"/>
    <w:rsid w:val="00884973"/>
    <w:rsid w:val="008942E1"/>
    <w:rsid w:val="00894FEF"/>
    <w:rsid w:val="008A75C0"/>
    <w:rsid w:val="008D63EE"/>
    <w:rsid w:val="008E16DE"/>
    <w:rsid w:val="008F319A"/>
    <w:rsid w:val="00902872"/>
    <w:rsid w:val="00914E50"/>
    <w:rsid w:val="009337E1"/>
    <w:rsid w:val="00940439"/>
    <w:rsid w:val="00941293"/>
    <w:rsid w:val="00954A48"/>
    <w:rsid w:val="00980B85"/>
    <w:rsid w:val="0098598C"/>
    <w:rsid w:val="00986632"/>
    <w:rsid w:val="00995684"/>
    <w:rsid w:val="00996050"/>
    <w:rsid w:val="009B7A2C"/>
    <w:rsid w:val="009D73A6"/>
    <w:rsid w:val="009E3F1A"/>
    <w:rsid w:val="009F620B"/>
    <w:rsid w:val="00A26F7F"/>
    <w:rsid w:val="00A32F34"/>
    <w:rsid w:val="00A561E0"/>
    <w:rsid w:val="00A67860"/>
    <w:rsid w:val="00A8567D"/>
    <w:rsid w:val="00A86EA1"/>
    <w:rsid w:val="00AA25EE"/>
    <w:rsid w:val="00AE6AEA"/>
    <w:rsid w:val="00AF2509"/>
    <w:rsid w:val="00B23659"/>
    <w:rsid w:val="00B24E97"/>
    <w:rsid w:val="00B253EA"/>
    <w:rsid w:val="00B75AF4"/>
    <w:rsid w:val="00B81332"/>
    <w:rsid w:val="00B92618"/>
    <w:rsid w:val="00B97401"/>
    <w:rsid w:val="00BA287B"/>
    <w:rsid w:val="00BB02D6"/>
    <w:rsid w:val="00BC43CF"/>
    <w:rsid w:val="00BD1D5F"/>
    <w:rsid w:val="00C01619"/>
    <w:rsid w:val="00C055EF"/>
    <w:rsid w:val="00C178DE"/>
    <w:rsid w:val="00C17A90"/>
    <w:rsid w:val="00C17D62"/>
    <w:rsid w:val="00C41322"/>
    <w:rsid w:val="00C62A44"/>
    <w:rsid w:val="00C71C1E"/>
    <w:rsid w:val="00C82B25"/>
    <w:rsid w:val="00C90918"/>
    <w:rsid w:val="00CC6C67"/>
    <w:rsid w:val="00CD4C55"/>
    <w:rsid w:val="00CE59C2"/>
    <w:rsid w:val="00D2632F"/>
    <w:rsid w:val="00D30E64"/>
    <w:rsid w:val="00D31293"/>
    <w:rsid w:val="00D40655"/>
    <w:rsid w:val="00D50AD6"/>
    <w:rsid w:val="00D547E7"/>
    <w:rsid w:val="00D73D04"/>
    <w:rsid w:val="00D76D4A"/>
    <w:rsid w:val="00D80A14"/>
    <w:rsid w:val="00D82B2A"/>
    <w:rsid w:val="00DA4A4F"/>
    <w:rsid w:val="00DA59E9"/>
    <w:rsid w:val="00DA66C7"/>
    <w:rsid w:val="00DC3F75"/>
    <w:rsid w:val="00DC5F1E"/>
    <w:rsid w:val="00DE26B5"/>
    <w:rsid w:val="00DF6966"/>
    <w:rsid w:val="00DF7964"/>
    <w:rsid w:val="00E24F4C"/>
    <w:rsid w:val="00E44C65"/>
    <w:rsid w:val="00E4527A"/>
    <w:rsid w:val="00E60AAB"/>
    <w:rsid w:val="00E738D3"/>
    <w:rsid w:val="00E81101"/>
    <w:rsid w:val="00E9495C"/>
    <w:rsid w:val="00EA2536"/>
    <w:rsid w:val="00EA554C"/>
    <w:rsid w:val="00EB1AED"/>
    <w:rsid w:val="00EC73AB"/>
    <w:rsid w:val="00EE4562"/>
    <w:rsid w:val="00F034AE"/>
    <w:rsid w:val="00F14D17"/>
    <w:rsid w:val="00F15061"/>
    <w:rsid w:val="00F2524F"/>
    <w:rsid w:val="00F40C7C"/>
    <w:rsid w:val="00F4138D"/>
    <w:rsid w:val="00F4281B"/>
    <w:rsid w:val="00F51EB1"/>
    <w:rsid w:val="00F53190"/>
    <w:rsid w:val="00F533BC"/>
    <w:rsid w:val="00F55F31"/>
    <w:rsid w:val="00F74155"/>
    <w:rsid w:val="00F82205"/>
    <w:rsid w:val="00F82324"/>
    <w:rsid w:val="00F85CBC"/>
    <w:rsid w:val="00F9579F"/>
    <w:rsid w:val="00FB1A68"/>
    <w:rsid w:val="00FB7E6E"/>
    <w:rsid w:val="00FB7ED6"/>
    <w:rsid w:val="00FC48C3"/>
    <w:rsid w:val="00FF37D2"/>
    <w:rsid w:val="00FF7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C41B022"/>
  <w15:chartTrackingRefBased/>
  <w15:docId w15:val="{C1226CE3-1186-4AC6-842B-B83E693B8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2336FE"/>
    <w:pPr>
      <w:keepNext/>
      <w:keepLines/>
      <w:numPr>
        <w:numId w:val="3"/>
      </w:numPr>
      <w:suppressAutoHyphens/>
      <w:spacing w:after="0" w:line="240" w:lineRule="auto"/>
      <w:outlineLvl w:val="0"/>
    </w:pPr>
    <w:rPr>
      <w:rFonts w:eastAsiaTheme="majorEastAsia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adpis1"/>
    <w:next w:val="Normlny"/>
    <w:link w:val="Nadpis2Char"/>
    <w:uiPriority w:val="99"/>
    <w:unhideWhenUsed/>
    <w:qFormat/>
    <w:rsid w:val="009E3F1A"/>
    <w:pPr>
      <w:numPr>
        <w:ilvl w:val="1"/>
      </w:numPr>
      <w:spacing w:before="240" w:after="240"/>
      <w:outlineLvl w:val="1"/>
    </w:pPr>
    <w:rPr>
      <w:sz w:val="28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2336FE"/>
    <w:pPr>
      <w:keepNext/>
      <w:keepLines/>
      <w:numPr>
        <w:ilvl w:val="2"/>
        <w:numId w:val="3"/>
      </w:numPr>
      <w:suppressAutoHyphens/>
      <w:spacing w:before="40" w:after="240" w:line="240" w:lineRule="auto"/>
      <w:jc w:val="both"/>
      <w:outlineLvl w:val="2"/>
    </w:pPr>
    <w:rPr>
      <w:rFonts w:ascii="Calibri" w:eastAsiaTheme="majorEastAsia" w:hAnsi="Calibri" w:cstheme="majorBidi"/>
      <w:color w:val="2E74B5" w:themeColor="accent1" w:themeShade="BF"/>
      <w:sz w:val="24"/>
      <w:szCs w:val="24"/>
    </w:rPr>
  </w:style>
  <w:style w:type="paragraph" w:styleId="Nadpis4">
    <w:name w:val="heading 4"/>
    <w:basedOn w:val="Normlny"/>
    <w:next w:val="Normlny"/>
    <w:link w:val="Nadpis4Char"/>
    <w:uiPriority w:val="9"/>
    <w:unhideWhenUsed/>
    <w:qFormat/>
    <w:rsid w:val="005647AB"/>
    <w:pPr>
      <w:keepNext/>
      <w:keepLines/>
      <w:numPr>
        <w:ilvl w:val="3"/>
        <w:numId w:val="3"/>
      </w:numPr>
      <w:suppressAutoHyphens/>
      <w:spacing w:before="160" w:after="120" w:line="240" w:lineRule="auto"/>
      <w:ind w:left="1572"/>
      <w:jc w:val="both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C17D62"/>
    <w:pPr>
      <w:keepNext/>
      <w:keepLines/>
      <w:numPr>
        <w:ilvl w:val="4"/>
        <w:numId w:val="3"/>
      </w:numPr>
      <w:suppressAutoHyphens/>
      <w:spacing w:before="40" w:after="0" w:line="240" w:lineRule="auto"/>
      <w:jc w:val="both"/>
      <w:outlineLvl w:val="4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C17D62"/>
    <w:pPr>
      <w:keepNext/>
      <w:keepLines/>
      <w:numPr>
        <w:ilvl w:val="5"/>
        <w:numId w:val="3"/>
      </w:numPr>
      <w:suppressAutoHyphens/>
      <w:spacing w:before="40" w:after="0" w:line="240" w:lineRule="auto"/>
      <w:jc w:val="both"/>
      <w:outlineLvl w:val="5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C17D62"/>
    <w:pPr>
      <w:keepNext/>
      <w:keepLines/>
      <w:numPr>
        <w:ilvl w:val="6"/>
        <w:numId w:val="3"/>
      </w:numPr>
      <w:suppressAutoHyphens/>
      <w:spacing w:before="40" w:after="0" w:line="240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C17D62"/>
    <w:pPr>
      <w:keepNext/>
      <w:keepLines/>
      <w:numPr>
        <w:ilvl w:val="7"/>
        <w:numId w:val="3"/>
      </w:numPr>
      <w:suppressAutoHyphens/>
      <w:spacing w:before="40" w:after="0" w:line="240" w:lineRule="auto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C17D62"/>
    <w:pPr>
      <w:keepNext/>
      <w:keepLines/>
      <w:numPr>
        <w:ilvl w:val="8"/>
        <w:numId w:val="3"/>
      </w:numPr>
      <w:suppressAutoHyphens/>
      <w:spacing w:before="40" w:after="0" w:line="240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2336FE"/>
    <w:rPr>
      <w:rFonts w:ascii="Calibri" w:eastAsiaTheme="majorEastAsia" w:hAnsi="Calibri" w:cstheme="majorBidi"/>
      <w:color w:val="2E74B5" w:themeColor="accent1" w:themeShade="BF"/>
      <w:sz w:val="24"/>
      <w:szCs w:val="24"/>
    </w:rPr>
  </w:style>
  <w:style w:type="character" w:styleId="Hypertextovprepojenie">
    <w:name w:val="Hyperlink"/>
    <w:basedOn w:val="Predvolenpsmoodseku"/>
    <w:uiPriority w:val="99"/>
    <w:unhideWhenUsed/>
    <w:rsid w:val="00715649"/>
    <w:rPr>
      <w:color w:val="0563C1" w:themeColor="hyperlink"/>
      <w:u w:val="single"/>
    </w:rPr>
  </w:style>
  <w:style w:type="character" w:customStyle="1" w:styleId="Nadpis1Char">
    <w:name w:val="Nadpis 1 Char"/>
    <w:basedOn w:val="Predvolenpsmoodseku"/>
    <w:link w:val="Nadpis1"/>
    <w:uiPriority w:val="9"/>
    <w:rsid w:val="002336FE"/>
    <w:rPr>
      <w:rFonts w:eastAsiaTheme="majorEastAsia" w:cstheme="majorBidi"/>
      <w:color w:val="2E74B5" w:themeColor="accent1" w:themeShade="BF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9"/>
    <w:rsid w:val="009E3F1A"/>
    <w:rPr>
      <w:rFonts w:eastAsiaTheme="majorEastAsia" w:cstheme="majorBidi"/>
      <w:color w:val="2E74B5" w:themeColor="accent1" w:themeShade="BF"/>
      <w:sz w:val="28"/>
      <w:szCs w:val="32"/>
    </w:rPr>
  </w:style>
  <w:style w:type="character" w:customStyle="1" w:styleId="Nadpis4Char">
    <w:name w:val="Nadpis 4 Char"/>
    <w:basedOn w:val="Predvolenpsmoodseku"/>
    <w:link w:val="Nadpis4"/>
    <w:uiPriority w:val="9"/>
    <w:rsid w:val="005647AB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C17D62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C17D6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C17D62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C17D6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C17D6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Odsekzoznamu">
    <w:name w:val="List Paragraph"/>
    <w:aliases w:val="body,List Paragraph,Lettre d'introduction,Paragrafo elenco,1st level - Bullet List Paragraph,Odsek,List Paragraph (numbered (a)),List Paragraph11,Medium Grid 1 - Accent 21,Normal bullet 2,Bullet list,Odražka 1,Table of contents numbered"/>
    <w:basedOn w:val="Normlny"/>
    <w:link w:val="OdsekzoznamuChar"/>
    <w:uiPriority w:val="34"/>
    <w:qFormat/>
    <w:rsid w:val="00C17D62"/>
    <w:pPr>
      <w:ind w:left="720"/>
      <w:contextualSpacing/>
    </w:pPr>
  </w:style>
  <w:style w:type="character" w:customStyle="1" w:styleId="OdsekzoznamuChar">
    <w:name w:val="Odsek zoznamu Char"/>
    <w:aliases w:val="body Char,List Paragraph Char,Lettre d'introduction Char,Paragrafo elenco Char,1st level - Bullet List Paragraph Char,Odsek Char,List Paragraph (numbered (a)) Char,List Paragraph11 Char,Medium Grid 1 - Accent 21 Char,Bullet list Char"/>
    <w:basedOn w:val="Predvolenpsmoodseku"/>
    <w:link w:val="Odsekzoznamu"/>
    <w:uiPriority w:val="34"/>
    <w:qFormat/>
    <w:locked/>
    <w:rsid w:val="00C17D62"/>
  </w:style>
  <w:style w:type="paragraph" w:styleId="Textpoznmkypodiarou">
    <w:name w:val="footnote text"/>
    <w:aliases w:val="Text poznámky pod čiarou 007,_Poznámka pod čiarou,Schriftart: 9 pt,Schriftart: 10 pt,Schriftart: 8 pt,Text poznámky pod èiarou 007,Text poznámky pod eiarou 007,Text poznámky pod eiarou 007 Char Char Char,Char4, Char4,o,Car,fn"/>
    <w:basedOn w:val="Normlny"/>
    <w:link w:val="TextpoznmkypodiarouChar"/>
    <w:uiPriority w:val="99"/>
    <w:unhideWhenUsed/>
    <w:qFormat/>
    <w:rsid w:val="00C17D62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aliases w:val="Text poznámky pod čiarou 007 Char,_Poznámka pod čiarou Char,Schriftart: 9 pt Char,Schriftart: 10 pt Char,Schriftart: 8 pt Char,Text poznámky pod èiarou 007 Char,Text poznámky pod eiarou 007 Char,Char4 Char, Char4 Char"/>
    <w:basedOn w:val="Predvolenpsmoodseku"/>
    <w:link w:val="Textpoznmkypodiarou"/>
    <w:uiPriority w:val="99"/>
    <w:qFormat/>
    <w:rsid w:val="00C17D62"/>
    <w:rPr>
      <w:sz w:val="20"/>
      <w:szCs w:val="20"/>
    </w:rPr>
  </w:style>
  <w:style w:type="character" w:styleId="Odkaznapoznmkupodiarou">
    <w:name w:val="footnote reference"/>
    <w:aliases w:val="Footnote Refernece,BVI fnr,Fußnotenzeichen_Raxen,callout,Footnote Reference Number,SUPERS,Footnote symbol,Footnote reference number,Times 10 Point,Exposant 3 Point,EN Footnote Reference,note TESI,-E Fußnotenzeichen,Ref,E,S"/>
    <w:basedOn w:val="Predvolenpsmoodseku"/>
    <w:link w:val="Char2"/>
    <w:uiPriority w:val="99"/>
    <w:unhideWhenUsed/>
    <w:qFormat/>
    <w:rsid w:val="00C17D62"/>
    <w:rPr>
      <w:vertAlign w:val="superscript"/>
    </w:rPr>
  </w:style>
  <w:style w:type="paragraph" w:customStyle="1" w:styleId="Char2">
    <w:name w:val="Char2"/>
    <w:basedOn w:val="Normlny"/>
    <w:link w:val="Odkaznapoznmkupodiarou"/>
    <w:uiPriority w:val="99"/>
    <w:rsid w:val="00C17D62"/>
    <w:pPr>
      <w:spacing w:line="240" w:lineRule="exact"/>
    </w:pPr>
    <w:rPr>
      <w:vertAlign w:val="superscript"/>
    </w:rPr>
  </w:style>
  <w:style w:type="paragraph" w:customStyle="1" w:styleId="paragraph">
    <w:name w:val="paragraph"/>
    <w:basedOn w:val="Normlny"/>
    <w:rsid w:val="00D547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D547E7"/>
  </w:style>
  <w:style w:type="table" w:styleId="Tabukasmriekou1svetlzvraznenie6">
    <w:name w:val="Grid Table 1 Light Accent 6"/>
    <w:basedOn w:val="Normlnatabuka"/>
    <w:uiPriority w:val="46"/>
    <w:rsid w:val="00DA59E9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ukasozoznamom1svetl">
    <w:name w:val="List Table 1 Light"/>
    <w:basedOn w:val="Normlnatabuka"/>
    <w:uiPriority w:val="46"/>
    <w:rsid w:val="00DA59E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Mriekatabuky">
    <w:name w:val="Table Grid"/>
    <w:basedOn w:val="Normlnatabuka"/>
    <w:uiPriority w:val="39"/>
    <w:rsid w:val="001C54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300C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00C08"/>
  </w:style>
  <w:style w:type="paragraph" w:styleId="Pta">
    <w:name w:val="footer"/>
    <w:basedOn w:val="Normlny"/>
    <w:link w:val="PtaChar"/>
    <w:uiPriority w:val="99"/>
    <w:unhideWhenUsed/>
    <w:rsid w:val="00300C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00C08"/>
  </w:style>
  <w:style w:type="paragraph" w:styleId="Hlavikaobsahu">
    <w:name w:val="TOC Heading"/>
    <w:basedOn w:val="Nadpis1"/>
    <w:next w:val="Normlny"/>
    <w:uiPriority w:val="39"/>
    <w:unhideWhenUsed/>
    <w:qFormat/>
    <w:rsid w:val="00300C08"/>
    <w:pPr>
      <w:numPr>
        <w:numId w:val="0"/>
      </w:numPr>
      <w:suppressAutoHyphens w:val="0"/>
      <w:spacing w:before="240" w:line="259" w:lineRule="auto"/>
      <w:outlineLvl w:val="9"/>
    </w:pPr>
    <w:rPr>
      <w:rFonts w:asciiTheme="majorHAnsi" w:hAnsiTheme="majorHAnsi"/>
      <w:lang w:eastAsia="sk-SK"/>
    </w:rPr>
  </w:style>
  <w:style w:type="paragraph" w:styleId="Obsah1">
    <w:name w:val="toc 1"/>
    <w:basedOn w:val="Normlny"/>
    <w:next w:val="Normlny"/>
    <w:autoRedefine/>
    <w:uiPriority w:val="39"/>
    <w:unhideWhenUsed/>
    <w:rsid w:val="00300C08"/>
    <w:pPr>
      <w:spacing w:after="100"/>
    </w:pPr>
  </w:style>
  <w:style w:type="paragraph" w:styleId="Obsah2">
    <w:name w:val="toc 2"/>
    <w:basedOn w:val="Normlny"/>
    <w:next w:val="Normlny"/>
    <w:autoRedefine/>
    <w:uiPriority w:val="39"/>
    <w:unhideWhenUsed/>
    <w:rsid w:val="00300C08"/>
    <w:pPr>
      <w:spacing w:after="100"/>
      <w:ind w:left="220"/>
    </w:pPr>
  </w:style>
  <w:style w:type="paragraph" w:styleId="Obsah3">
    <w:name w:val="toc 3"/>
    <w:basedOn w:val="Normlny"/>
    <w:next w:val="Normlny"/>
    <w:autoRedefine/>
    <w:uiPriority w:val="39"/>
    <w:unhideWhenUsed/>
    <w:rsid w:val="00300C08"/>
    <w:pPr>
      <w:spacing w:after="100"/>
      <w:ind w:left="440"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8849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84973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2C63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2C6302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2C6302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2C63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2C6302"/>
    <w:rPr>
      <w:b/>
      <w:bCs/>
      <w:sz w:val="20"/>
      <w:szCs w:val="20"/>
    </w:rPr>
  </w:style>
  <w:style w:type="paragraph" w:styleId="Normlnywebov">
    <w:name w:val="Normal (Web)"/>
    <w:basedOn w:val="Normlny"/>
    <w:uiPriority w:val="99"/>
    <w:semiHidden/>
    <w:unhideWhenUsed/>
    <w:rsid w:val="004C3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Zvraznenie">
    <w:name w:val="Emphasis"/>
    <w:basedOn w:val="Predvolenpsmoodseku"/>
    <w:uiPriority w:val="20"/>
    <w:qFormat/>
    <w:rsid w:val="004C352D"/>
    <w:rPr>
      <w:i/>
      <w:iCs/>
    </w:rPr>
  </w:style>
  <w:style w:type="paragraph" w:styleId="Obsah4">
    <w:name w:val="toc 4"/>
    <w:basedOn w:val="Normlny"/>
    <w:next w:val="Normlny"/>
    <w:autoRedefine/>
    <w:uiPriority w:val="39"/>
    <w:unhideWhenUsed/>
    <w:rsid w:val="00844027"/>
    <w:pPr>
      <w:spacing w:after="100"/>
      <w:ind w:left="6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0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6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D9728-1D63-41D5-8C50-2D6B7DA4F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4056</Words>
  <Characters>23122</Characters>
  <Application>Microsoft Office Word</Application>
  <DocSecurity>0</DocSecurity>
  <Lines>192</Lines>
  <Paragraphs>54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Gmiterko, Juraj</dc:creator>
  <cp:keywords/>
  <dc:description/>
  <cp:lastModifiedBy>Gmiterko, Juraj</cp:lastModifiedBy>
  <cp:revision>2</cp:revision>
  <cp:lastPrinted>2025-03-12T15:08:00Z</cp:lastPrinted>
  <dcterms:created xsi:type="dcterms:W3CDTF">2025-06-12T14:09:00Z</dcterms:created>
  <dcterms:modified xsi:type="dcterms:W3CDTF">2025-06-12T14:09:00Z</dcterms:modified>
</cp:coreProperties>
</file>